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1"/>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5"/>
        <w:gridCol w:w="564"/>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tcPr>
          <w:tbl>
            <w:tblPr>
              <w:tblStyle w:val="11"/>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34"/>
              <w:gridCol w:w="577"/>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PrEx>
              <w:trPr>
                <w:trHeight w:val="2491" w:hRule="atLeast"/>
                <w:jc w:val="center"/>
              </w:trPr>
              <w:tc>
                <w:tcPr>
                  <w:tcW w:w="5000" w:type="pct"/>
                  <w:gridSpan w:val="2"/>
                  <w:tcBorders>
                    <w:top w:val="nil"/>
                    <w:left w:val="nil"/>
                    <w:bottom w:val="nil"/>
                    <w:right w:val="nil"/>
                  </w:tcBorders>
                  <w:vAlign w:val="center"/>
                </w:tcPr>
                <w:p>
                  <w:pPr>
                    <w:jc w:val="center"/>
                    <w:rPr>
                      <w:rFonts w:ascii="方正小标宋简体" w:eastAsia="方正小标宋简体"/>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7" w:type="pct"/>
                <w:trHeight w:val="638" w:hRule="atLeast"/>
                <w:jc w:val="center"/>
              </w:trPr>
              <w:tc>
                <w:tcPr>
                  <w:tcW w:w="4703" w:type="pct"/>
                  <w:tcBorders>
                    <w:top w:val="nil"/>
                    <w:left w:val="nil"/>
                    <w:bottom w:val="nil"/>
                    <w:right w:val="nil"/>
                  </w:tcBorders>
                  <w:vAlign w:val="center"/>
                </w:tcPr>
                <w:p>
                  <w:pPr>
                    <w:spacing w:line="540" w:lineRule="exact"/>
                    <w:jc w:val="center"/>
                    <w:rPr>
                      <w:rFonts w:ascii="仿宋_GB2312" w:hAnsi="宋体" w:eastAsia="仿宋_GB2312"/>
                      <w:color w:val="FF0000"/>
                      <w:sz w:val="32"/>
                      <w:szCs w:val="32"/>
                    </w:rPr>
                  </w:pPr>
                </w:p>
              </w:tc>
            </w:tr>
          </w:tbl>
          <w:p>
            <w:pPr>
              <w:jc w:val="center"/>
              <w:rPr>
                <w:rFonts w:ascii="楷体_GB2312" w:eastAsia="楷体_GB2312"/>
                <w:sz w:val="32"/>
                <w:szCs w:val="32"/>
              </w:rPr>
            </w:pPr>
            <w:r>
              <w:rPr>
                <w:rFonts w:hint="eastAsia" w:ascii="仿宋_GB2312" w:eastAsia="仿宋_GB2312"/>
                <w:sz w:val="32"/>
                <w:szCs w:val="32"/>
              </w:rPr>
              <w:t>院发〔2025〕</w:t>
            </w:r>
            <w:r>
              <w:rPr>
                <w:rFonts w:hint="eastAsia" w:ascii="仿宋_GB2312" w:eastAsia="仿宋_GB2312"/>
                <w:sz w:val="32"/>
                <w:szCs w:val="32"/>
                <w:lang w:val="en-US" w:eastAsia="zh-CN"/>
              </w:rPr>
              <w:t>28</w:t>
            </w:r>
            <w:r>
              <w:rPr>
                <w:rFonts w:hint="eastAsia" w:ascii="仿宋_GB2312" w:eastAsia="仿宋_GB2312"/>
                <w:sz w:val="32"/>
                <w:szCs w:val="32"/>
              </w:rPr>
              <w:t>号</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7" w:type="pct"/>
          <w:trHeight w:val="638" w:hRule="atLeast"/>
          <w:jc w:val="center"/>
        </w:trPr>
        <w:tc>
          <w:tcPr>
            <w:tcW w:w="4703" w:type="pct"/>
            <w:tcBorders>
              <w:top w:val="nil"/>
              <w:left w:val="nil"/>
              <w:bottom w:val="nil"/>
              <w:right w:val="nil"/>
            </w:tcBorders>
          </w:tcPr>
          <w:p>
            <w:pPr>
              <w:spacing w:line="520" w:lineRule="exact"/>
              <w:jc w:val="center"/>
              <w:rPr>
                <w:rFonts w:ascii="方正小标宋简体" w:hAnsi="宋体" w:eastAsia="方正小标宋简体" w:cs="宋体"/>
                <w:bCs/>
                <w:sz w:val="44"/>
                <w:szCs w:val="44"/>
              </w:rPr>
            </w:pPr>
            <w: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97790</wp:posOffset>
                      </wp:positionV>
                      <wp:extent cx="5829300" cy="0"/>
                      <wp:effectExtent l="0" t="9525" r="0" b="952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9pt;margin-top:7.7pt;height:0pt;width:459pt;z-index:251661312;mso-width-relative:page;mso-height-relative:page;" filled="f" stroked="t" coordsize="21600,21600" o:gfxdata="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ENL89cA&#10;AAAJAQAADwAAAAAAAAABACAAAAAiAAAAZHJzL2Rvd25yZXYueG1sUEsBAhQAFAAAAAgAh07iQMjc&#10;/xLnAQAAqwMAAA4AAAAAAAAAAQAgAAAAJgEAAGRycy9lMm9Eb2MueG1sUEsFBgAAAAAGAAYAWQEA&#10;AH8FAAAAAA==&#10;">
                      <v:fill on="f" focussize="0,0"/>
                      <v:stroke weight="1.5pt" color="#FF0000" joinstyle="round"/>
                      <v:imagedata o:title=""/>
                      <o:lock v:ext="edit" aspectratio="f"/>
                    </v:line>
                  </w:pict>
                </mc:Fallback>
              </mc:AlternateContent>
            </w:r>
          </w:p>
        </w:tc>
      </w:tr>
    </w:tbl>
    <w:p>
      <w:pPr>
        <w:keepNext w:val="0"/>
        <w:keepLines w:val="0"/>
        <w:pageBreakBefore w:val="0"/>
        <w:widowControl w:val="0"/>
        <w:kinsoku/>
        <w:wordWrap/>
        <w:overflowPunct/>
        <w:topLinePunct w:val="0"/>
        <w:autoSpaceDE/>
        <w:autoSpaceDN/>
        <w:bidi w:val="0"/>
        <w:adjustRightInd/>
        <w:snapToGrid/>
        <w:spacing w:before="625" w:beforeLines="200" w:line="560" w:lineRule="exact"/>
        <w:jc w:val="center"/>
        <w:textAlignment w:val="auto"/>
        <w:rPr>
          <w:rFonts w:hint="eastAsia" w:ascii="方正小标宋简体" w:hAnsi="华文中宋" w:eastAsia="方正小标宋简体"/>
          <w:sz w:val="44"/>
          <w:szCs w:val="44"/>
        </w:rPr>
      </w:pPr>
      <w:r>
        <w:rPr>
          <w:rFonts w:hint="eastAsia" w:ascii="方正小标宋简体" w:hAnsi="华文中宋" w:eastAsia="方正小标宋简体"/>
          <w:sz w:val="44"/>
          <w:szCs w:val="44"/>
        </w:rPr>
        <w:t>北京</w:t>
      </w:r>
      <w:r>
        <w:rPr>
          <w:rFonts w:ascii="方正小标宋简体" w:hAnsi="华文中宋" w:eastAsia="方正小标宋简体"/>
          <w:sz w:val="44"/>
          <w:szCs w:val="44"/>
        </w:rPr>
        <w:t>青年政治</w:t>
      </w:r>
      <w:r>
        <w:rPr>
          <w:rFonts w:hint="eastAsia" w:ascii="方正小标宋简体" w:hAnsi="华文中宋" w:eastAsia="方正小标宋简体"/>
          <w:sz w:val="44"/>
          <w:szCs w:val="44"/>
        </w:rPr>
        <w:t>学院</w:t>
      </w:r>
    </w:p>
    <w:p>
      <w:pPr>
        <w:spacing w:line="560" w:lineRule="exact"/>
        <w:jc w:val="center"/>
        <w:rPr>
          <w:rFonts w:hint="eastAsia" w:ascii="方正小标宋简体" w:hAnsi="华文中宋" w:eastAsia="方正小标宋简体"/>
          <w:sz w:val="44"/>
          <w:szCs w:val="44"/>
          <w:lang w:val="en-US" w:eastAsia="zh-CN"/>
        </w:rPr>
      </w:pPr>
      <w:r>
        <w:rPr>
          <w:rFonts w:hint="eastAsia" w:ascii="方正小标宋简体" w:hAnsi="华文中宋" w:eastAsia="方正小标宋简体"/>
          <w:sz w:val="44"/>
          <w:szCs w:val="44"/>
        </w:rPr>
        <w:t>关于印发《北京青年政治学院</w:t>
      </w:r>
      <w:r>
        <w:rPr>
          <w:rFonts w:hint="eastAsia" w:ascii="方正小标宋简体" w:hAnsi="华文中宋" w:eastAsia="方正小标宋简体"/>
          <w:sz w:val="44"/>
          <w:szCs w:val="44"/>
          <w:lang w:val="en-US" w:eastAsia="zh-CN"/>
        </w:rPr>
        <w:t>关于</w:t>
      </w:r>
      <w:r>
        <w:rPr>
          <w:rFonts w:hint="eastAsia" w:ascii="方正小标宋简体" w:hAnsi="华文中宋" w:eastAsia="方正小标宋简体"/>
          <w:sz w:val="44"/>
          <w:szCs w:val="44"/>
        </w:rPr>
        <w:t>进校</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华文中宋" w:eastAsia="方正小标宋简体"/>
          <w:sz w:val="44"/>
          <w:szCs w:val="44"/>
        </w:rPr>
        <w:t>施工</w:t>
      </w:r>
      <w:r>
        <w:rPr>
          <w:rFonts w:hint="eastAsia" w:ascii="方正小标宋简体" w:hAnsi="华文中宋" w:eastAsia="方正小标宋简体"/>
          <w:sz w:val="44"/>
          <w:szCs w:val="44"/>
          <w:lang w:val="en-US" w:eastAsia="zh-CN"/>
        </w:rPr>
        <w:t>的</w:t>
      </w:r>
      <w:r>
        <w:rPr>
          <w:rFonts w:hint="eastAsia" w:ascii="方正小标宋简体" w:hAnsi="华文中宋" w:eastAsia="方正小标宋简体"/>
          <w:sz w:val="44"/>
          <w:szCs w:val="44"/>
        </w:rPr>
        <w:t>管理规定》的通知</w:t>
      </w:r>
    </w:p>
    <w:p>
      <w:pPr>
        <w:spacing w:line="560" w:lineRule="exact"/>
        <w:rPr>
          <w:rFonts w:hint="eastAsia" w:ascii="仿宋_GB2312" w:eastAsia="仿宋_GB2312"/>
          <w:sz w:val="32"/>
          <w:szCs w:val="32"/>
        </w:rPr>
      </w:pPr>
    </w:p>
    <w:p>
      <w:pPr>
        <w:spacing w:line="560" w:lineRule="exact"/>
        <w:contextualSpacing/>
        <w:rPr>
          <w:rFonts w:hint="eastAsia" w:ascii="楷体_GB2312" w:hAnsi="微软雅黑" w:eastAsia="楷体_GB2312" w:cs="仿宋_GB2312"/>
          <w:color w:val="000000"/>
          <w:kern w:val="0"/>
          <w:sz w:val="32"/>
          <w:szCs w:val="32"/>
          <w:shd w:val="clear" w:color="auto" w:fill="FFFFFF"/>
          <w:lang w:bidi="ar"/>
        </w:rPr>
      </w:pPr>
      <w:r>
        <w:rPr>
          <w:rFonts w:hint="eastAsia" w:ascii="楷体_GB2312" w:hAnsi="微软雅黑" w:eastAsia="楷体_GB2312" w:cs="仿宋_GB2312"/>
          <w:color w:val="000000"/>
          <w:kern w:val="0"/>
          <w:sz w:val="32"/>
          <w:szCs w:val="32"/>
          <w:shd w:val="clear" w:color="auto" w:fill="FFFFFF"/>
          <w:lang w:bidi="ar"/>
        </w:rPr>
        <w:t>各部门（单位）：</w:t>
      </w:r>
    </w:p>
    <w:p>
      <w:pPr>
        <w:spacing w:line="560" w:lineRule="exact"/>
        <w:ind w:firstLine="608" w:firstLineChars="200"/>
        <w:contextualSpacing/>
        <w:jc w:val="left"/>
        <w:rPr>
          <w:rFonts w:ascii="楷体_GB2312" w:hAnsi="微软雅黑" w:eastAsia="楷体_GB2312" w:cs="仿宋_GB2312"/>
          <w:color w:val="000000"/>
          <w:kern w:val="0"/>
          <w:sz w:val="32"/>
          <w:szCs w:val="32"/>
          <w:shd w:val="clear" w:color="auto" w:fill="FFFFFF"/>
          <w:lang w:bidi="ar"/>
        </w:rPr>
      </w:pPr>
      <w:r>
        <w:rPr>
          <w:rFonts w:hint="eastAsia" w:ascii="楷体_GB2312" w:hAnsi="微软雅黑" w:eastAsia="楷体_GB2312" w:cs="仿宋_GB2312"/>
          <w:color w:val="000000"/>
          <w:kern w:val="0"/>
          <w:sz w:val="32"/>
          <w:szCs w:val="32"/>
          <w:shd w:val="clear" w:color="auto" w:fill="FFFFFF"/>
          <w:lang w:bidi="ar"/>
        </w:rPr>
        <w:t>《北京青年政治学院</w:t>
      </w:r>
      <w:r>
        <w:rPr>
          <w:rFonts w:hint="eastAsia" w:ascii="楷体_GB2312" w:hAnsi="微软雅黑" w:eastAsia="楷体_GB2312" w:cs="仿宋_GB2312"/>
          <w:color w:val="000000"/>
          <w:kern w:val="0"/>
          <w:sz w:val="32"/>
          <w:szCs w:val="32"/>
          <w:shd w:val="clear" w:color="auto" w:fill="FFFFFF"/>
          <w:lang w:val="en-US" w:eastAsia="zh-CN" w:bidi="ar"/>
        </w:rPr>
        <w:t>关于</w:t>
      </w:r>
      <w:r>
        <w:rPr>
          <w:rFonts w:hint="eastAsia" w:ascii="楷体_GB2312" w:hAnsi="微软雅黑" w:eastAsia="楷体_GB2312" w:cs="仿宋_GB2312"/>
          <w:color w:val="000000"/>
          <w:kern w:val="0"/>
          <w:sz w:val="32"/>
          <w:szCs w:val="32"/>
          <w:shd w:val="clear" w:color="auto" w:fill="FFFFFF"/>
          <w:lang w:bidi="ar"/>
        </w:rPr>
        <w:t>进校施工</w:t>
      </w:r>
      <w:r>
        <w:rPr>
          <w:rFonts w:hint="eastAsia" w:ascii="楷体_GB2312" w:hAnsi="微软雅黑" w:eastAsia="楷体_GB2312" w:cs="仿宋_GB2312"/>
          <w:color w:val="000000"/>
          <w:kern w:val="0"/>
          <w:sz w:val="32"/>
          <w:szCs w:val="32"/>
          <w:shd w:val="clear" w:color="auto" w:fill="FFFFFF"/>
          <w:lang w:val="en-US" w:eastAsia="zh-CN" w:bidi="ar"/>
        </w:rPr>
        <w:t>的</w:t>
      </w:r>
      <w:r>
        <w:rPr>
          <w:rFonts w:hint="eastAsia" w:ascii="楷体_GB2312" w:hAnsi="微软雅黑" w:eastAsia="楷体_GB2312" w:cs="仿宋_GB2312"/>
          <w:color w:val="000000"/>
          <w:kern w:val="0"/>
          <w:sz w:val="32"/>
          <w:szCs w:val="32"/>
          <w:shd w:val="clear" w:color="auto" w:fill="FFFFFF"/>
          <w:lang w:bidi="ar"/>
        </w:rPr>
        <w:t>管理规定》经学院202</w:t>
      </w:r>
      <w:r>
        <w:rPr>
          <w:rFonts w:ascii="楷体_GB2312" w:hAnsi="微软雅黑" w:eastAsia="楷体_GB2312" w:cs="仿宋_GB2312"/>
          <w:color w:val="000000"/>
          <w:kern w:val="0"/>
          <w:sz w:val="32"/>
          <w:szCs w:val="32"/>
          <w:shd w:val="clear" w:color="auto" w:fill="FFFFFF"/>
          <w:lang w:bidi="ar"/>
        </w:rPr>
        <w:t>5</w:t>
      </w:r>
      <w:r>
        <w:rPr>
          <w:rFonts w:hint="eastAsia" w:ascii="楷体_GB2312" w:hAnsi="微软雅黑" w:eastAsia="楷体_GB2312" w:cs="仿宋_GB2312"/>
          <w:color w:val="000000"/>
          <w:kern w:val="0"/>
          <w:sz w:val="32"/>
          <w:szCs w:val="32"/>
          <w:shd w:val="clear" w:color="auto" w:fill="FFFFFF"/>
          <w:lang w:bidi="ar"/>
        </w:rPr>
        <w:t>年院长办公会第</w:t>
      </w:r>
      <w:r>
        <w:rPr>
          <w:rFonts w:ascii="楷体_GB2312" w:hAnsi="微软雅黑" w:eastAsia="楷体_GB2312" w:cs="仿宋_GB2312"/>
          <w:color w:val="000000"/>
          <w:kern w:val="0"/>
          <w:sz w:val="32"/>
          <w:szCs w:val="32"/>
          <w:shd w:val="clear" w:color="auto" w:fill="FFFFFF"/>
          <w:lang w:bidi="ar"/>
        </w:rPr>
        <w:t>17</w:t>
      </w:r>
      <w:r>
        <w:rPr>
          <w:rFonts w:hint="eastAsia" w:ascii="楷体_GB2312" w:hAnsi="微软雅黑" w:eastAsia="楷体_GB2312" w:cs="仿宋_GB2312"/>
          <w:color w:val="000000"/>
          <w:kern w:val="0"/>
          <w:sz w:val="32"/>
          <w:szCs w:val="32"/>
          <w:shd w:val="clear" w:color="auto" w:fill="FFFFFF"/>
          <w:lang w:bidi="ar"/>
        </w:rPr>
        <w:t>次会议审议通过，现印发给你们，请认真遵照执行。</w:t>
      </w:r>
    </w:p>
    <w:p>
      <w:pPr>
        <w:pStyle w:val="2"/>
        <w:spacing w:line="560" w:lineRule="exact"/>
        <w:rPr>
          <w:rFonts w:hint="eastAsia"/>
          <w:lang w:bidi="ar"/>
        </w:rPr>
      </w:pPr>
    </w:p>
    <w:p>
      <w:pPr>
        <w:spacing w:line="560" w:lineRule="exact"/>
        <w:ind w:right="776" w:rightChars="400" w:firstLine="5168" w:firstLineChars="1700"/>
        <w:jc w:val="left"/>
        <w:rPr>
          <w:rFonts w:hint="eastAsia" w:ascii="仿宋_GB2312" w:eastAsia="仿宋_GB2312"/>
          <w:sz w:val="32"/>
          <w:szCs w:val="32"/>
        </w:rPr>
      </w:pPr>
      <w:r>
        <w:rPr>
          <w:rFonts w:hint="eastAsia" w:ascii="楷体_GB2312" w:eastAsia="楷体_GB2312"/>
          <w:sz w:val="32"/>
          <w:szCs w:val="32"/>
        </w:rPr>
        <w:t>北京青年政治学院</w:t>
      </w:r>
    </w:p>
    <w:p>
      <w:pPr>
        <w:spacing w:line="560" w:lineRule="exact"/>
        <w:ind w:firstLine="5168" w:firstLineChars="1700"/>
        <w:jc w:val="left"/>
        <w:rPr>
          <w:rFonts w:hint="eastAsia" w:ascii="楷体_GB2312" w:eastAsia="楷体_GB2312"/>
          <w:sz w:val="32"/>
          <w:szCs w:val="32"/>
        </w:rPr>
      </w:pPr>
      <w:r>
        <w:rPr>
          <w:rFonts w:hint="eastAsia" w:ascii="楷体_GB2312" w:eastAsia="楷体_GB2312"/>
          <w:sz w:val="32"/>
          <w:szCs w:val="32"/>
        </w:rPr>
        <w:t>202</w:t>
      </w:r>
      <w:r>
        <w:rPr>
          <w:rFonts w:ascii="楷体_GB2312" w:eastAsia="楷体_GB2312"/>
          <w:sz w:val="32"/>
          <w:szCs w:val="32"/>
        </w:rPr>
        <w:t>5</w:t>
      </w:r>
      <w:r>
        <w:rPr>
          <w:rFonts w:hint="eastAsia" w:ascii="楷体_GB2312" w:eastAsia="楷体_GB2312"/>
          <w:sz w:val="32"/>
          <w:szCs w:val="32"/>
        </w:rPr>
        <w:t>年</w:t>
      </w:r>
      <w:r>
        <w:rPr>
          <w:rFonts w:ascii="楷体_GB2312" w:eastAsia="楷体_GB2312"/>
          <w:sz w:val="32"/>
          <w:szCs w:val="32"/>
        </w:rPr>
        <w:t>7</w:t>
      </w:r>
      <w:r>
        <w:rPr>
          <w:rFonts w:hint="eastAsia" w:ascii="楷体_GB2312" w:eastAsia="楷体_GB2312"/>
          <w:sz w:val="32"/>
          <w:szCs w:val="32"/>
        </w:rPr>
        <w:t>月</w:t>
      </w:r>
      <w:r>
        <w:rPr>
          <w:rFonts w:hint="eastAsia" w:ascii="楷体_GB2312" w:eastAsia="楷体_GB2312"/>
          <w:sz w:val="32"/>
          <w:szCs w:val="32"/>
          <w:lang w:val="en-US" w:eastAsia="zh-CN"/>
        </w:rPr>
        <w:t>11</w:t>
      </w:r>
      <w:r>
        <w:rPr>
          <w:rFonts w:hint="eastAsia" w:ascii="楷体_GB2312" w:eastAsia="楷体_GB2312"/>
          <w:sz w:val="32"/>
          <w:szCs w:val="32"/>
        </w:rPr>
        <w:t>日</w:t>
      </w:r>
    </w:p>
    <w:p>
      <w:pPr>
        <w:pStyle w:val="2"/>
        <w:spacing w:line="560" w:lineRule="exact"/>
        <w:rPr>
          <w:rFonts w:hint="eastAsia"/>
        </w:rPr>
      </w:pPr>
    </w:p>
    <w:p>
      <w:pPr>
        <w:autoSpaceDE w:val="0"/>
        <w:autoSpaceDN w:val="0"/>
        <w:adjustRightInd w:val="0"/>
        <w:spacing w:line="560" w:lineRule="exact"/>
        <w:jc w:val="center"/>
        <w:rPr>
          <w:rFonts w:hint="eastAsia" w:ascii="方正小标宋简体" w:hAnsi="华文中宋" w:eastAsia="方正小标宋简体"/>
          <w:sz w:val="44"/>
          <w:szCs w:val="44"/>
        </w:rPr>
      </w:pPr>
      <w:bookmarkStart w:id="0" w:name="_Hlk137125618"/>
      <w:r>
        <w:rPr>
          <w:rFonts w:hint="eastAsia" w:ascii="方正小标宋简体" w:hAnsi="华文中宋" w:eastAsia="方正小标宋简体"/>
          <w:sz w:val="44"/>
          <w:szCs w:val="44"/>
        </w:rPr>
        <w:t>北京青年政治学院</w:t>
      </w:r>
      <w:r>
        <w:rPr>
          <w:rFonts w:hint="eastAsia" w:ascii="方正小标宋简体" w:hAnsi="华文中宋" w:eastAsia="方正小标宋简体"/>
          <w:sz w:val="44"/>
          <w:szCs w:val="44"/>
          <w:lang w:val="en-US" w:eastAsia="zh-CN"/>
        </w:rPr>
        <w:t>关于</w:t>
      </w:r>
      <w:r>
        <w:rPr>
          <w:rFonts w:hint="eastAsia" w:ascii="方正小标宋简体" w:hAnsi="华文中宋" w:eastAsia="方正小标宋简体"/>
          <w:sz w:val="44"/>
          <w:szCs w:val="44"/>
        </w:rPr>
        <w:t>进校施工</w:t>
      </w:r>
      <w:r>
        <w:rPr>
          <w:rFonts w:hint="eastAsia" w:ascii="方正小标宋简体" w:hAnsi="华文中宋" w:eastAsia="方正小标宋简体"/>
          <w:sz w:val="44"/>
          <w:szCs w:val="44"/>
          <w:lang w:val="en-US" w:eastAsia="zh-CN"/>
        </w:rPr>
        <w:t>的</w:t>
      </w:r>
      <w:r>
        <w:rPr>
          <w:rFonts w:hint="eastAsia" w:ascii="方正小标宋简体" w:hAnsi="华文中宋" w:eastAsia="方正小标宋简体"/>
          <w:sz w:val="44"/>
          <w:szCs w:val="44"/>
        </w:rPr>
        <w:t>管理规定</w:t>
      </w:r>
    </w:p>
    <w:p>
      <w:pPr>
        <w:keepNext w:val="0"/>
        <w:keepLines w:val="0"/>
        <w:pageBreakBefore w:val="0"/>
        <w:widowControl/>
        <w:kinsoku/>
        <w:wordWrap/>
        <w:overflowPunct/>
        <w:topLinePunct w:val="0"/>
        <w:autoSpaceDE/>
        <w:autoSpaceDN/>
        <w:bidi w:val="0"/>
        <w:adjustRightInd/>
        <w:snapToGrid/>
        <w:spacing w:before="313" w:beforeLines="100"/>
        <w:ind w:firstLine="658"/>
        <w:jc w:val="center"/>
        <w:textAlignment w:val="auto"/>
        <w:rPr>
          <w:rFonts w:ascii="仿宋_GB2312" w:eastAsia="仿宋_GB2312"/>
          <w:sz w:val="32"/>
          <w:szCs w:val="32"/>
        </w:rPr>
      </w:pPr>
      <w:r>
        <w:rPr>
          <w:rFonts w:hint="eastAsia" w:ascii="仿宋_GB2312" w:hAnsi="楷体" w:eastAsia="仿宋_GB2312"/>
          <w:sz w:val="32"/>
          <w:szCs w:val="32"/>
        </w:rPr>
        <w:t>（</w:t>
      </w:r>
      <w:r>
        <w:rPr>
          <w:rFonts w:hint="eastAsia" w:ascii="仿宋_GB2312" w:eastAsia="仿宋_GB2312"/>
          <w:sz w:val="32"/>
          <w:szCs w:val="32"/>
        </w:rPr>
        <w:t>201</w:t>
      </w:r>
      <w:r>
        <w:rPr>
          <w:rFonts w:ascii="仿宋_GB2312" w:eastAsia="仿宋_GB2312"/>
          <w:sz w:val="32"/>
          <w:szCs w:val="32"/>
        </w:rPr>
        <w:t>1</w:t>
      </w:r>
      <w:r>
        <w:rPr>
          <w:rFonts w:hint="eastAsia" w:ascii="仿宋_GB2312" w:eastAsia="仿宋_GB2312"/>
          <w:sz w:val="32"/>
          <w:szCs w:val="32"/>
        </w:rPr>
        <w:t>年</w:t>
      </w:r>
      <w:r>
        <w:rPr>
          <w:rFonts w:ascii="仿宋_GB2312" w:eastAsia="仿宋_GB2312"/>
          <w:sz w:val="32"/>
          <w:szCs w:val="32"/>
        </w:rPr>
        <w:t>1</w:t>
      </w:r>
      <w:r>
        <w:rPr>
          <w:rFonts w:hint="eastAsia" w:ascii="仿宋_GB2312" w:eastAsia="仿宋_GB2312"/>
          <w:sz w:val="32"/>
          <w:szCs w:val="32"/>
        </w:rPr>
        <w:t>月</w:t>
      </w:r>
      <w:r>
        <w:rPr>
          <w:rFonts w:ascii="仿宋_GB2312" w:eastAsia="仿宋_GB2312"/>
          <w:sz w:val="32"/>
          <w:szCs w:val="32"/>
        </w:rPr>
        <w:t>4</w:t>
      </w:r>
      <w:r>
        <w:rPr>
          <w:rFonts w:hint="eastAsia" w:ascii="仿宋_GB2312" w:eastAsia="仿宋_GB2312"/>
          <w:sz w:val="32"/>
          <w:szCs w:val="32"/>
        </w:rPr>
        <w:t>日第</w:t>
      </w:r>
      <w:r>
        <w:rPr>
          <w:rFonts w:ascii="仿宋_GB2312" w:eastAsia="仿宋_GB2312"/>
          <w:sz w:val="32"/>
          <w:szCs w:val="32"/>
        </w:rPr>
        <w:t>1</w:t>
      </w:r>
      <w:r>
        <w:rPr>
          <w:rFonts w:hint="eastAsia" w:ascii="仿宋_GB2312" w:eastAsia="仿宋_GB2312"/>
          <w:sz w:val="32"/>
          <w:szCs w:val="32"/>
        </w:rPr>
        <w:t>次院长办公会</w:t>
      </w:r>
      <w:r>
        <w:rPr>
          <w:rFonts w:hint="eastAsia" w:ascii="仿宋_GB2312" w:eastAsia="仿宋_GB2312"/>
          <w:sz w:val="32"/>
          <w:szCs w:val="32"/>
          <w:lang w:val="en-US" w:eastAsia="zh-CN"/>
        </w:rPr>
        <w:t>会议</w:t>
      </w:r>
      <w:r>
        <w:rPr>
          <w:rFonts w:hint="eastAsia" w:ascii="仿宋_GB2312" w:eastAsia="仿宋_GB2312"/>
          <w:sz w:val="32"/>
          <w:szCs w:val="32"/>
        </w:rPr>
        <w:t xml:space="preserve">通过 </w:t>
      </w:r>
      <w:r>
        <w:rPr>
          <w:rFonts w:ascii="仿宋_GB2312" w:eastAsia="仿宋_GB2312"/>
          <w:sz w:val="32"/>
          <w:szCs w:val="32"/>
        </w:rPr>
        <w:t xml:space="preserve"> </w:t>
      </w:r>
    </w:p>
    <w:p>
      <w:pPr>
        <w:keepNext w:val="0"/>
        <w:keepLines w:val="0"/>
        <w:pageBreakBefore w:val="0"/>
        <w:widowControl/>
        <w:kinsoku/>
        <w:wordWrap/>
        <w:overflowPunct/>
        <w:topLinePunct w:val="0"/>
        <w:autoSpaceDE/>
        <w:autoSpaceDN/>
        <w:bidi w:val="0"/>
        <w:adjustRightInd/>
        <w:snapToGrid/>
        <w:spacing w:after="313" w:afterLines="100"/>
        <w:ind w:firstLine="658"/>
        <w:jc w:val="center"/>
        <w:textAlignment w:val="auto"/>
        <w:rPr>
          <w:rFonts w:hint="eastAsia" w:ascii="黑体" w:hAnsi="黑体" w:eastAsia="黑体" w:cs="黑体"/>
          <w:sz w:val="32"/>
          <w:szCs w:val="32"/>
        </w:rPr>
      </w:pPr>
      <w:r>
        <w:rPr>
          <w:rFonts w:hint="eastAsia" w:ascii="仿宋_GB2312" w:eastAsia="仿宋_GB2312"/>
          <w:sz w:val="32"/>
          <w:szCs w:val="32"/>
        </w:rPr>
        <w:t>201</w:t>
      </w:r>
      <w:r>
        <w:rPr>
          <w:rFonts w:ascii="仿宋_GB2312" w:eastAsia="仿宋_GB2312"/>
          <w:sz w:val="32"/>
          <w:szCs w:val="32"/>
        </w:rPr>
        <w:t>1</w:t>
      </w:r>
      <w:r>
        <w:rPr>
          <w:rFonts w:hint="eastAsia" w:ascii="仿宋_GB2312" w:eastAsia="仿宋_GB2312"/>
          <w:sz w:val="32"/>
          <w:szCs w:val="32"/>
        </w:rPr>
        <w:t>年</w:t>
      </w:r>
      <w:r>
        <w:rPr>
          <w:rFonts w:ascii="仿宋_GB2312" w:eastAsia="仿宋_GB2312"/>
          <w:sz w:val="32"/>
          <w:szCs w:val="32"/>
        </w:rPr>
        <w:t>4</w:t>
      </w:r>
      <w:r>
        <w:rPr>
          <w:rFonts w:hint="eastAsia" w:ascii="仿宋_GB2312" w:eastAsia="仿宋_GB2312"/>
          <w:sz w:val="32"/>
          <w:szCs w:val="32"/>
        </w:rPr>
        <w:t>月</w:t>
      </w:r>
      <w:r>
        <w:rPr>
          <w:rFonts w:ascii="仿宋_GB2312" w:eastAsia="仿宋_GB2312"/>
          <w:sz w:val="32"/>
          <w:szCs w:val="32"/>
        </w:rPr>
        <w:t>11</w:t>
      </w:r>
      <w:r>
        <w:rPr>
          <w:rFonts w:hint="eastAsia" w:ascii="仿宋_GB2312" w:eastAsia="仿宋_GB2312"/>
          <w:sz w:val="32"/>
          <w:szCs w:val="32"/>
        </w:rPr>
        <w:t xml:space="preserve">日发布 </w:t>
      </w:r>
      <w:r>
        <w:rPr>
          <w:rFonts w:ascii="仿宋_GB2312" w:eastAsia="仿宋_GB2312"/>
          <w:sz w:val="32"/>
          <w:szCs w:val="32"/>
        </w:rPr>
        <w:t xml:space="preserve"> </w:t>
      </w:r>
      <w:r>
        <w:rPr>
          <w:rFonts w:hint="eastAsia" w:ascii="仿宋_GB2312" w:hAnsi="宋体" w:eastAsia="仿宋_GB2312"/>
          <w:sz w:val="32"/>
          <w:szCs w:val="32"/>
        </w:rPr>
        <w:t>2023年11月</w:t>
      </w:r>
      <w:r>
        <w:rPr>
          <w:rFonts w:ascii="仿宋_GB2312" w:hAnsi="宋体" w:eastAsia="仿宋_GB2312"/>
          <w:sz w:val="32"/>
          <w:szCs w:val="32"/>
        </w:rPr>
        <w:t>28</w:t>
      </w:r>
      <w:r>
        <w:rPr>
          <w:rFonts w:hint="eastAsia" w:ascii="仿宋_GB2312" w:hAnsi="宋体" w:eastAsia="仿宋_GB2312"/>
          <w:sz w:val="32"/>
          <w:szCs w:val="32"/>
        </w:rPr>
        <w:t>日第</w:t>
      </w:r>
      <w:r>
        <w:rPr>
          <w:rFonts w:ascii="仿宋_GB2312" w:hAnsi="宋体" w:eastAsia="仿宋_GB2312"/>
          <w:sz w:val="32"/>
          <w:szCs w:val="32"/>
        </w:rPr>
        <w:t>27</w:t>
      </w:r>
      <w:r>
        <w:rPr>
          <w:rFonts w:hint="eastAsia" w:ascii="仿宋_GB2312" w:hAnsi="宋体" w:eastAsia="仿宋_GB2312"/>
          <w:sz w:val="32"/>
          <w:szCs w:val="32"/>
        </w:rPr>
        <w:t>次院长办公会</w:t>
      </w:r>
      <w:r>
        <w:rPr>
          <w:rFonts w:hint="eastAsia" w:ascii="仿宋_GB2312" w:hAnsi="宋体" w:eastAsia="仿宋_GB2312"/>
          <w:sz w:val="32"/>
          <w:szCs w:val="32"/>
          <w:lang w:val="en-US" w:eastAsia="zh-CN"/>
        </w:rPr>
        <w:t>会议第1次</w:t>
      </w:r>
      <w:r>
        <w:rPr>
          <w:rFonts w:hint="eastAsia" w:ascii="仿宋_GB2312" w:hAnsi="宋体" w:eastAsia="仿宋_GB2312"/>
          <w:sz w:val="32"/>
          <w:szCs w:val="32"/>
        </w:rPr>
        <w:t xml:space="preserve">修订 </w:t>
      </w:r>
      <w:r>
        <w:rPr>
          <w:rFonts w:ascii="仿宋_GB2312" w:hAnsi="宋体" w:eastAsia="仿宋_GB2312"/>
          <w:sz w:val="32"/>
          <w:szCs w:val="32"/>
        </w:rPr>
        <w:t xml:space="preserve"> </w:t>
      </w:r>
      <w:r>
        <w:rPr>
          <w:rFonts w:hint="eastAsia" w:ascii="仿宋_GB2312" w:hAnsi="宋体" w:eastAsia="仿宋_GB2312"/>
          <w:sz w:val="32"/>
          <w:szCs w:val="32"/>
        </w:rPr>
        <w:t>2023年</w:t>
      </w:r>
      <w:r>
        <w:rPr>
          <w:rFonts w:ascii="仿宋_GB2312" w:hAnsi="宋体" w:eastAsia="仿宋_GB2312"/>
          <w:sz w:val="32"/>
          <w:szCs w:val="32"/>
        </w:rPr>
        <w:t>11</w:t>
      </w:r>
      <w:r>
        <w:rPr>
          <w:rFonts w:hint="eastAsia" w:ascii="仿宋_GB2312" w:hAnsi="宋体" w:eastAsia="仿宋_GB2312"/>
          <w:sz w:val="32"/>
          <w:szCs w:val="32"/>
        </w:rPr>
        <w:t>月</w:t>
      </w:r>
      <w:r>
        <w:rPr>
          <w:rFonts w:ascii="仿宋_GB2312" w:hAnsi="宋体" w:eastAsia="仿宋_GB2312"/>
          <w:sz w:val="32"/>
          <w:szCs w:val="32"/>
        </w:rPr>
        <w:t>29</w:t>
      </w:r>
      <w:r>
        <w:rPr>
          <w:rFonts w:hint="eastAsia" w:ascii="仿宋_GB2312" w:hAnsi="宋体" w:eastAsia="仿宋_GB2312"/>
          <w:sz w:val="32"/>
          <w:szCs w:val="32"/>
        </w:rPr>
        <w:t>日发布  202</w:t>
      </w:r>
      <w:r>
        <w:rPr>
          <w:rFonts w:ascii="仿宋_GB2312" w:hAnsi="宋体" w:eastAsia="仿宋_GB2312"/>
          <w:sz w:val="32"/>
          <w:szCs w:val="32"/>
        </w:rPr>
        <w:t>5</w:t>
      </w:r>
      <w:r>
        <w:rPr>
          <w:rFonts w:hint="eastAsia" w:ascii="仿宋_GB2312" w:hAnsi="宋体" w:eastAsia="仿宋_GB2312"/>
          <w:sz w:val="32"/>
          <w:szCs w:val="32"/>
        </w:rPr>
        <w:t>年</w:t>
      </w:r>
      <w:r>
        <w:rPr>
          <w:rFonts w:ascii="仿宋_GB2312" w:hAnsi="宋体" w:eastAsia="仿宋_GB2312"/>
          <w:sz w:val="32"/>
          <w:szCs w:val="32"/>
        </w:rPr>
        <w:t>6</w:t>
      </w:r>
      <w:r>
        <w:rPr>
          <w:rFonts w:hint="eastAsia" w:ascii="仿宋_GB2312" w:hAnsi="宋体" w:eastAsia="仿宋_GB2312"/>
          <w:sz w:val="32"/>
          <w:szCs w:val="32"/>
        </w:rPr>
        <w:t>月</w:t>
      </w:r>
      <w:r>
        <w:rPr>
          <w:rFonts w:ascii="仿宋_GB2312" w:hAnsi="宋体" w:eastAsia="仿宋_GB2312"/>
          <w:sz w:val="32"/>
          <w:szCs w:val="32"/>
        </w:rPr>
        <w:t>27</w:t>
      </w:r>
      <w:r>
        <w:rPr>
          <w:rFonts w:hint="eastAsia" w:ascii="仿宋_GB2312" w:hAnsi="宋体" w:eastAsia="仿宋_GB2312"/>
          <w:sz w:val="32"/>
          <w:szCs w:val="32"/>
        </w:rPr>
        <w:t>日第</w:t>
      </w:r>
      <w:r>
        <w:rPr>
          <w:rFonts w:ascii="仿宋_GB2312" w:hAnsi="宋体" w:eastAsia="仿宋_GB2312"/>
          <w:sz w:val="32"/>
          <w:szCs w:val="32"/>
        </w:rPr>
        <w:t>17</w:t>
      </w:r>
      <w:r>
        <w:rPr>
          <w:rFonts w:hint="eastAsia" w:ascii="仿宋_GB2312" w:hAnsi="宋体" w:eastAsia="仿宋_GB2312"/>
          <w:sz w:val="32"/>
          <w:szCs w:val="32"/>
        </w:rPr>
        <w:t>次院长办公会</w:t>
      </w:r>
      <w:r>
        <w:rPr>
          <w:rFonts w:hint="eastAsia" w:ascii="仿宋_GB2312" w:hAnsi="宋体" w:eastAsia="仿宋_GB2312"/>
          <w:sz w:val="32"/>
          <w:szCs w:val="32"/>
          <w:lang w:val="en-US" w:eastAsia="zh-CN"/>
        </w:rPr>
        <w:t>会议第2次</w:t>
      </w:r>
      <w:bookmarkStart w:id="1" w:name="_GoBack"/>
      <w:bookmarkEnd w:id="1"/>
      <w:r>
        <w:rPr>
          <w:rFonts w:hint="eastAsia" w:ascii="仿宋_GB2312" w:hAnsi="宋体" w:eastAsia="仿宋_GB2312"/>
          <w:sz w:val="32"/>
          <w:szCs w:val="32"/>
        </w:rPr>
        <w:t xml:space="preserve">修订 </w:t>
      </w:r>
      <w:r>
        <w:rPr>
          <w:rFonts w:ascii="仿宋_GB2312" w:hAnsi="宋体" w:eastAsia="仿宋_GB2312"/>
          <w:sz w:val="32"/>
          <w:szCs w:val="32"/>
        </w:rPr>
        <w:t xml:space="preserve"> </w:t>
      </w:r>
      <w:r>
        <w:rPr>
          <w:rFonts w:hint="eastAsia" w:ascii="仿宋_GB2312" w:hAnsi="宋体" w:eastAsia="仿宋_GB2312"/>
          <w:sz w:val="32"/>
          <w:szCs w:val="32"/>
        </w:rPr>
        <w:t>202</w:t>
      </w:r>
      <w:r>
        <w:rPr>
          <w:rFonts w:ascii="仿宋_GB2312" w:hAnsi="宋体" w:eastAsia="仿宋_GB2312"/>
          <w:sz w:val="32"/>
          <w:szCs w:val="32"/>
        </w:rPr>
        <w:t>5</w:t>
      </w:r>
      <w:r>
        <w:rPr>
          <w:rFonts w:hint="eastAsia" w:ascii="仿宋_GB2312" w:hAnsi="宋体" w:eastAsia="仿宋_GB2312"/>
          <w:sz w:val="32"/>
          <w:szCs w:val="32"/>
        </w:rPr>
        <w:t>年</w:t>
      </w:r>
      <w:r>
        <w:rPr>
          <w:rFonts w:ascii="仿宋_GB2312" w:hAnsi="宋体" w:eastAsia="仿宋_GB2312"/>
          <w:sz w:val="32"/>
          <w:szCs w:val="32"/>
        </w:rPr>
        <w:t>7</w:t>
      </w:r>
      <w:r>
        <w:rPr>
          <w:rFonts w:hint="eastAsia" w:ascii="仿宋_GB2312" w:hAnsi="宋体" w:eastAsia="仿宋_GB2312"/>
          <w:sz w:val="32"/>
          <w:szCs w:val="32"/>
        </w:rPr>
        <w:t>月</w:t>
      </w:r>
      <w:r>
        <w:rPr>
          <w:rFonts w:hint="eastAsia" w:ascii="仿宋_GB2312" w:hAnsi="宋体" w:eastAsia="仿宋_GB2312"/>
          <w:sz w:val="32"/>
          <w:szCs w:val="32"/>
          <w:lang w:val="en-US" w:eastAsia="zh-CN"/>
        </w:rPr>
        <w:t>11</w:t>
      </w:r>
      <w:r>
        <w:rPr>
          <w:rFonts w:hint="eastAsia" w:ascii="仿宋_GB2312" w:hAnsi="宋体" w:eastAsia="仿宋_GB2312"/>
          <w:sz w:val="32"/>
          <w:szCs w:val="32"/>
        </w:rPr>
        <w:t>日发布</w:t>
      </w:r>
      <w:r>
        <w:rPr>
          <w:rFonts w:hint="eastAsia" w:ascii="仿宋_GB2312" w:hAnsi="楷体" w:eastAsia="仿宋_GB2312"/>
          <w:sz w:val="32"/>
          <w:szCs w:val="32"/>
        </w:rPr>
        <w:t>）</w:t>
      </w:r>
      <w:bookmarkEnd w:id="0"/>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为加强对进校施工单位安全生产的管理，维护学院治安秩序和施工秩序，保障学院教学和各项工作的顺利进行，根据《北京市外地来京人员户籍管理规定》、北京市《关于加强建设施工现场治安保卫工作的规定》和《北京青年政治学院校园秩序管理规定》以及我院实际情况，特制定本办法：</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sz w:val="32"/>
          <w:szCs w:val="32"/>
        </w:rPr>
        <w:t>第一条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“进校施工队伍”是指隶属关系不在我院，但在院内进行诸如楼房、校舍、食堂</w:t>
      </w:r>
      <w:r>
        <w:rPr>
          <w:rFonts w:ascii="仿宋_GB2312" w:hAnsi="宋体" w:eastAsia="仿宋_GB2312" w:cs="宋体"/>
          <w:color w:val="000000"/>
          <w:sz w:val="32"/>
          <w:szCs w:val="32"/>
        </w:rPr>
        <w:t>、</w:t>
      </w:r>
      <w:r>
        <w:rPr>
          <w:rFonts w:hint="eastAsia" w:ascii="仿宋_GB2312" w:hAnsi="宋体" w:eastAsia="仿宋_GB2312" w:cs="宋体"/>
          <w:color w:val="000000"/>
          <w:sz w:val="32"/>
          <w:szCs w:val="32"/>
        </w:rPr>
        <w:t>道路等以及绿化、网络通信、</w:t>
      </w:r>
      <w:r>
        <w:rPr>
          <w:rFonts w:ascii="仿宋_GB2312" w:hAnsi="宋体" w:eastAsia="仿宋_GB2312" w:cs="宋体"/>
          <w:color w:val="000000"/>
          <w:sz w:val="32"/>
          <w:szCs w:val="32"/>
        </w:rPr>
        <w:t>教学设施设备</w:t>
      </w:r>
      <w:r>
        <w:rPr>
          <w:rFonts w:hint="eastAsia" w:ascii="仿宋_GB2312" w:hAnsi="宋体" w:eastAsia="仿宋_GB2312" w:cs="宋体"/>
          <w:color w:val="000000"/>
          <w:sz w:val="32"/>
          <w:szCs w:val="32"/>
        </w:rPr>
        <w:t>等建设改造的外来施工单位及施工人员。</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第二条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 xml:space="preserve">在院内施工的各施工单位及其工作人员均须遵守本规定。   </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sz w:val="32"/>
          <w:szCs w:val="32"/>
        </w:rPr>
        <w:t>第三条</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val="en-US" w:eastAsia="zh-CN"/>
        </w:rPr>
        <w:t xml:space="preserve"> </w:t>
      </w:r>
      <w:r>
        <w:rPr>
          <w:rFonts w:hint="eastAsia" w:ascii="仿宋_GB2312" w:hAnsi="宋体" w:eastAsia="仿宋_GB2312" w:cs="宋体"/>
          <w:color w:val="000000"/>
          <w:sz w:val="32"/>
          <w:szCs w:val="32"/>
        </w:rPr>
        <w:t>学院安全与</w:t>
      </w:r>
      <w:r>
        <w:rPr>
          <w:rFonts w:ascii="仿宋_GB2312" w:hAnsi="宋体" w:eastAsia="仿宋_GB2312" w:cs="宋体"/>
          <w:color w:val="000000"/>
          <w:sz w:val="32"/>
          <w:szCs w:val="32"/>
        </w:rPr>
        <w:t>后勤保障</w:t>
      </w:r>
      <w:r>
        <w:rPr>
          <w:rFonts w:hint="eastAsia" w:ascii="仿宋_GB2312" w:hAnsi="宋体" w:eastAsia="仿宋_GB2312" w:cs="宋体"/>
          <w:color w:val="000000"/>
          <w:sz w:val="32"/>
          <w:szCs w:val="32"/>
          <w:lang w:val="en-US" w:eastAsia="zh-CN"/>
        </w:rPr>
        <w:t>处</w:t>
      </w:r>
      <w:r>
        <w:rPr>
          <w:rFonts w:hint="eastAsia" w:ascii="仿宋_GB2312" w:hAnsi="宋体" w:eastAsia="仿宋_GB2312" w:cs="宋体"/>
          <w:color w:val="000000"/>
          <w:sz w:val="32"/>
          <w:szCs w:val="32"/>
        </w:rPr>
        <w:t>、资产</w:t>
      </w:r>
      <w:r>
        <w:rPr>
          <w:rFonts w:ascii="仿宋_GB2312" w:hAnsi="宋体" w:eastAsia="仿宋_GB2312" w:cs="宋体"/>
          <w:color w:val="000000"/>
          <w:sz w:val="32"/>
          <w:szCs w:val="32"/>
        </w:rPr>
        <w:t>处、教务处、信息化处</w:t>
      </w:r>
      <w:r>
        <w:rPr>
          <w:rFonts w:hint="eastAsia" w:ascii="仿宋_GB2312" w:hAnsi="宋体" w:eastAsia="仿宋_GB2312" w:cs="宋体"/>
          <w:color w:val="000000"/>
          <w:sz w:val="32"/>
          <w:szCs w:val="32"/>
        </w:rPr>
        <w:t>等相关部门组成对进院施工单位的监督管理工作小组，在主管安全</w:t>
      </w:r>
      <w:r>
        <w:rPr>
          <w:rFonts w:ascii="仿宋_GB2312" w:hAnsi="宋体" w:eastAsia="仿宋_GB2312" w:cs="宋体"/>
          <w:color w:val="000000"/>
          <w:sz w:val="32"/>
          <w:szCs w:val="32"/>
        </w:rPr>
        <w:t>生产</w:t>
      </w:r>
      <w:r>
        <w:rPr>
          <w:rFonts w:hint="eastAsia" w:ascii="仿宋_GB2312" w:hAnsi="宋体" w:eastAsia="仿宋_GB2312" w:cs="宋体"/>
          <w:color w:val="000000"/>
          <w:sz w:val="32"/>
          <w:szCs w:val="32"/>
        </w:rPr>
        <w:t>副院长的领导下，负责对院内各施工单位施工时间的批准、协调工作生活秩序及安全的监督管理工作。</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sz w:val="32"/>
          <w:szCs w:val="32"/>
        </w:rPr>
        <w:t>第四条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在学院监督管理工作小组的协调下，各施工单位负责人在学院项目建设部门责任人的指导下，应及时做到以下主要事宜：</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（一）对施工人员进行法制、安全和学院相关规定的教育，及时传达学院对施工单位的有关通知要求，并要求遵守学院的相关规章制度。</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（二）将进院施工的人员及自然情况（隶属关系、法人代表、施工项目负责人、进入学院施工人名单、工程项目及安全施工管理等）报安全</w:t>
      </w:r>
      <w:r>
        <w:rPr>
          <w:rFonts w:ascii="仿宋_GB2312" w:hAnsi="宋体" w:eastAsia="仿宋_GB2312" w:cs="宋体"/>
          <w:color w:val="000000"/>
          <w:sz w:val="32"/>
          <w:szCs w:val="32"/>
        </w:rPr>
        <w:t>稳定工作部</w:t>
      </w:r>
      <w:r>
        <w:rPr>
          <w:rFonts w:hint="eastAsia" w:ascii="仿宋_GB2312" w:hAnsi="宋体" w:eastAsia="仿宋_GB2312" w:cs="宋体"/>
          <w:color w:val="000000"/>
          <w:sz w:val="32"/>
          <w:szCs w:val="32"/>
        </w:rPr>
        <w:t>保卫科备案，临时增加施工人员应及时到保卫科补充登记。</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（三）在施工前，到保卫科办理施工人员、车辆临时出入证等相关手续。并提供施工进度表、施工图纸和安全负责人等相关资料，对高空作业、特种设备（电梯、配电和燃气、</w:t>
      </w:r>
      <w:r>
        <w:rPr>
          <w:rFonts w:ascii="仿宋_GB2312" w:hAnsi="宋体" w:eastAsia="仿宋_GB2312" w:cs="宋体"/>
          <w:color w:val="000000"/>
          <w:sz w:val="32"/>
          <w:szCs w:val="32"/>
        </w:rPr>
        <w:t>电气焊</w:t>
      </w:r>
      <w:r>
        <w:rPr>
          <w:rFonts w:hint="eastAsia" w:ascii="仿宋_GB2312" w:hAnsi="宋体" w:eastAsia="仿宋_GB2312" w:cs="宋体"/>
          <w:color w:val="000000"/>
          <w:sz w:val="32"/>
          <w:szCs w:val="32"/>
        </w:rPr>
        <w:t>）的施工必须具有审核公司资质和各种专业操作证，所有手续办理完毕和提供的资料齐备经审核后方可进场施工。</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（四）协助公安、保卫科处理案件与事故，以及学院安全生产领导小组定期或不定期对施工单位的消防、用水、用电、</w:t>
      </w:r>
      <w:r>
        <w:rPr>
          <w:rFonts w:ascii="仿宋_GB2312" w:hAnsi="宋体" w:eastAsia="仿宋_GB2312" w:cs="宋体"/>
          <w:color w:val="000000"/>
          <w:sz w:val="32"/>
          <w:szCs w:val="32"/>
        </w:rPr>
        <w:t>施工</w:t>
      </w:r>
      <w:r>
        <w:rPr>
          <w:rFonts w:hint="eastAsia" w:ascii="仿宋_GB2312" w:hAnsi="宋体" w:eastAsia="仿宋_GB2312" w:cs="宋体"/>
          <w:color w:val="000000"/>
          <w:sz w:val="32"/>
          <w:szCs w:val="32"/>
        </w:rPr>
        <w:t>等安全生产检查。</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（五）与教务处、安全与</w:t>
      </w:r>
      <w:r>
        <w:rPr>
          <w:rFonts w:ascii="仿宋_GB2312" w:hAnsi="宋体" w:eastAsia="仿宋_GB2312" w:cs="宋体"/>
          <w:color w:val="000000"/>
          <w:sz w:val="32"/>
          <w:szCs w:val="32"/>
        </w:rPr>
        <w:t>后勤保障</w:t>
      </w:r>
      <w:r>
        <w:rPr>
          <w:rFonts w:hint="eastAsia" w:ascii="仿宋_GB2312" w:hAnsi="宋体" w:eastAsia="仿宋_GB2312" w:cs="宋体"/>
          <w:color w:val="000000"/>
          <w:sz w:val="32"/>
          <w:szCs w:val="32"/>
        </w:rPr>
        <w:t>处、</w:t>
      </w:r>
      <w:r>
        <w:rPr>
          <w:rFonts w:ascii="仿宋_GB2312" w:hAnsi="宋体" w:eastAsia="仿宋_GB2312" w:cs="宋体"/>
          <w:color w:val="000000"/>
          <w:sz w:val="32"/>
          <w:szCs w:val="32"/>
        </w:rPr>
        <w:t>学生处</w:t>
      </w:r>
      <w:r>
        <w:rPr>
          <w:rFonts w:hint="eastAsia" w:ascii="仿宋_GB2312" w:hAnsi="宋体" w:eastAsia="仿宋_GB2312" w:cs="宋体"/>
          <w:color w:val="000000"/>
          <w:sz w:val="32"/>
          <w:szCs w:val="32"/>
        </w:rPr>
        <w:t>等相关部门协调有关如何避免因施工影响教学和学生休息等问题。</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（六）与项目</w:t>
      </w:r>
      <w:r>
        <w:rPr>
          <w:rFonts w:ascii="仿宋_GB2312" w:hAnsi="宋体" w:eastAsia="仿宋_GB2312" w:cs="宋体"/>
          <w:color w:val="000000"/>
          <w:sz w:val="32"/>
          <w:szCs w:val="32"/>
        </w:rPr>
        <w:t>建设</w:t>
      </w:r>
      <w:r>
        <w:rPr>
          <w:rFonts w:hint="eastAsia" w:ascii="仿宋_GB2312" w:hAnsi="宋体" w:eastAsia="仿宋_GB2312" w:cs="宋体"/>
          <w:color w:val="000000"/>
          <w:sz w:val="32"/>
          <w:szCs w:val="32"/>
        </w:rPr>
        <w:t>具有</w:t>
      </w:r>
      <w:r>
        <w:rPr>
          <w:rFonts w:ascii="仿宋_GB2312" w:hAnsi="宋体" w:eastAsia="仿宋_GB2312" w:cs="宋体"/>
          <w:color w:val="000000"/>
          <w:sz w:val="32"/>
          <w:szCs w:val="32"/>
        </w:rPr>
        <w:t>负责</w:t>
      </w:r>
      <w:r>
        <w:rPr>
          <w:rFonts w:hint="eastAsia" w:ascii="仿宋_GB2312" w:hAnsi="宋体" w:eastAsia="仿宋_GB2312" w:cs="宋体"/>
          <w:color w:val="000000"/>
          <w:sz w:val="32"/>
          <w:szCs w:val="32"/>
        </w:rPr>
        <w:t>部门签署《北京青年政治学院施工安全责任书》，施工单位负责人要对施工工地和施工人员的安全保卫工作负全责，并根据学院安全保卫工作的要求与学院安全职能</w:t>
      </w:r>
      <w:r>
        <w:rPr>
          <w:rFonts w:ascii="仿宋_GB2312" w:hAnsi="宋体" w:eastAsia="仿宋_GB2312" w:cs="宋体"/>
          <w:color w:val="000000"/>
          <w:sz w:val="32"/>
          <w:szCs w:val="32"/>
        </w:rPr>
        <w:t>部门</w:t>
      </w:r>
      <w:r>
        <w:rPr>
          <w:rFonts w:hint="eastAsia" w:ascii="仿宋_GB2312" w:hAnsi="宋体" w:eastAsia="仿宋_GB2312" w:cs="宋体"/>
          <w:color w:val="000000"/>
          <w:sz w:val="32"/>
          <w:szCs w:val="32"/>
        </w:rPr>
        <w:t>签订施工</w:t>
      </w:r>
      <w:r>
        <w:rPr>
          <w:rFonts w:ascii="仿宋_GB2312" w:hAnsi="宋体" w:eastAsia="仿宋_GB2312" w:cs="宋体"/>
          <w:color w:val="000000"/>
          <w:sz w:val="32"/>
          <w:szCs w:val="32"/>
        </w:rPr>
        <w:t>期间校园</w:t>
      </w:r>
      <w:r>
        <w:rPr>
          <w:rFonts w:hint="eastAsia" w:ascii="仿宋_GB2312" w:hAnsi="宋体" w:eastAsia="仿宋_GB2312" w:cs="宋体"/>
          <w:color w:val="000000"/>
          <w:sz w:val="32"/>
          <w:szCs w:val="32"/>
        </w:rPr>
        <w:t>治安、防火、交通安全等责任书。</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第五条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施工单位应按照相关规定提供施工人员的相应资料，在学院保卫科办理施工人员及车辆的临时出入证。对没有身份证或乡以上政府介绍信及暂住证、就业证的人员一律不予办理。</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第六条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施工人员凭临时出入证出入校门，车辆出入校门要接受门卫检查，运输物资出校门要有施工单位和保卫科两家单位的携物证明。</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第七条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在学院组织考试等特殊情况下，施工单位应及时按学院的要求对施工人员宣讲并按要求采取临时停工等措施。</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第八条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施工单位应自觉接受学院安全</w:t>
      </w:r>
      <w:r>
        <w:rPr>
          <w:rFonts w:ascii="仿宋_GB2312" w:hAnsi="宋体" w:eastAsia="仿宋_GB2312" w:cs="宋体"/>
          <w:color w:val="000000"/>
          <w:sz w:val="32"/>
          <w:szCs w:val="32"/>
        </w:rPr>
        <w:t>生产领导</w:t>
      </w:r>
      <w:r>
        <w:rPr>
          <w:rFonts w:hint="eastAsia" w:ascii="仿宋_GB2312" w:hAnsi="宋体" w:eastAsia="仿宋_GB2312" w:cs="宋体"/>
          <w:color w:val="000000"/>
          <w:sz w:val="32"/>
          <w:szCs w:val="32"/>
        </w:rPr>
        <w:t>小组对施工场地、院内施工临时住宿场所的安全检查和监督管理，以及根据公安机关的部署对施工现场和施工人员住所进行清查，施工单位的所有成员都须积极配合，以便及时发现和处理各种隐患和问题，确保学院及施工人员的安全与稳定。</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第九条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施工单位或施工人员不得在学院内的施工临时住宿场所留宿他人，不得使用大功率及不符合要求的电器和取暖用具，严禁酗酒、赌博以及进行封建迷信和其他违法犯罪活动。</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第十条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施工人员在学院施工期间应讲文明、讲礼貌，严禁施工人员私自进入办公楼、教学楼、图书馆、学生寝室等非施工场所区域，以避免发生与学院师生非正常接触等不文明的事情；施工人员不得损害校园内的花草树木和一切公共设施。</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第十一条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施工人员的生产安全要符合施工安全操作规范。各施工单位或施工人员在校内施工时必须建立各种规章制度和操作规程、做好安全防范措施并加强安全教育和培训，发生的安全事故由各施工单位负全责。</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sz w:val="32"/>
          <w:szCs w:val="32"/>
        </w:rPr>
        <w:t xml:space="preserve">第十二条 </w:t>
      </w:r>
      <w:r>
        <w:rPr>
          <w:rFonts w:hint="eastAsia" w:ascii="仿宋_GB2312" w:hAnsi="宋体" w:eastAsia="仿宋_GB2312" w:cs="宋体"/>
          <w:b/>
          <w:sz w:val="32"/>
          <w:szCs w:val="32"/>
          <w:lang w:val="en-US" w:eastAsia="zh-CN"/>
        </w:rPr>
        <w:t xml:space="preserve"> </w:t>
      </w:r>
      <w:r>
        <w:rPr>
          <w:rFonts w:hint="eastAsia" w:ascii="仿宋_GB2312" w:hAnsi="宋体" w:eastAsia="仿宋_GB2312" w:cs="宋体"/>
          <w:color w:val="000000"/>
          <w:sz w:val="32"/>
          <w:szCs w:val="32"/>
        </w:rPr>
        <w:t>施工现场应按规定采取“硬围挡”等安全措施，并设置安全警示标志。施工现场及周围道路应保持安全畅通。在有可能伤及路人的施工部位，要搭建防护措施。</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第十三条</w:t>
      </w:r>
      <w:r>
        <w:rPr>
          <w:rFonts w:hint="eastAsia" w:ascii="仿宋_GB2312" w:hAnsi="宋体" w:eastAsia="仿宋_GB2312" w:cs="宋体"/>
          <w:color w:val="000000"/>
          <w:sz w:val="32"/>
          <w:szCs w:val="32"/>
        </w:rPr>
        <w:t xml:space="preserve"> </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施工现场的各项防火措施要符合上级消防机关及学院保卫科的要求。施工现场易燃、易爆、剧毒物品必须专库限量储存，并禁止在库房内使用电炉等电器设备，要安排专人值班看守。施工时需动用明火的应坚持审批制度，并要有专人负责，避免火灾的发生。</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第十四条</w:t>
      </w:r>
      <w:r>
        <w:rPr>
          <w:rFonts w:hint="eastAsia" w:ascii="仿宋_GB2312" w:hAnsi="宋体" w:eastAsia="仿宋_GB2312" w:cs="宋体"/>
          <w:b/>
          <w:color w:val="000000"/>
          <w:sz w:val="32"/>
          <w:szCs w:val="32"/>
          <w:lang w:val="en-US" w:eastAsia="zh-CN"/>
        </w:rPr>
        <w:t xml:space="preserve"> </w:t>
      </w:r>
      <w:r>
        <w:rPr>
          <w:rFonts w:hint="eastAsia" w:ascii="仿宋_GB2312" w:hAnsi="宋体" w:eastAsia="仿宋_GB2312" w:cs="宋体"/>
          <w:color w:val="000000"/>
          <w:sz w:val="32"/>
          <w:szCs w:val="32"/>
        </w:rPr>
        <w:t xml:space="preserve"> 在施工期间，损坏学院基础设施设备和绿地的，施工单位必须及时修复，无法修复的按价赔偿。同时施工单位应看护好施工现场的机器设备、建材等物资，严防被盗、破坏和其他灾害事故的发生，由此造成的损失或事故由施工单位自己负责 。</w:t>
      </w:r>
    </w:p>
    <w:p>
      <w:pPr>
        <w:spacing w:line="560" w:lineRule="exact"/>
        <w:ind w:firstLine="608" w:firstLineChars="200"/>
        <w:rPr>
          <w:rFonts w:ascii="仿宋_GB2312" w:hAnsi="宋体" w:eastAsia="仿宋_GB2312" w:cs="宋体"/>
          <w:color w:val="000000"/>
          <w:sz w:val="24"/>
          <w:szCs w:val="24"/>
        </w:rPr>
      </w:pPr>
      <w:r>
        <w:rPr>
          <w:rFonts w:hint="eastAsia" w:ascii="仿宋_GB2312" w:hAnsi="宋体" w:eastAsia="仿宋_GB2312" w:cs="宋体"/>
          <w:b/>
          <w:sz w:val="32"/>
          <w:szCs w:val="32"/>
        </w:rPr>
        <w:t>第十五条</w:t>
      </w:r>
      <w:r>
        <w:rPr>
          <w:rFonts w:hint="eastAsia" w:ascii="仿宋_GB2312" w:hAnsi="宋体" w:eastAsia="仿宋_GB2312" w:cs="宋体"/>
          <w:b/>
          <w:sz w:val="32"/>
          <w:szCs w:val="32"/>
          <w:lang w:val="en-US" w:eastAsia="zh-CN"/>
        </w:rPr>
        <w:t xml:space="preserve"> </w:t>
      </w:r>
      <w:r>
        <w:rPr>
          <w:rFonts w:hint="eastAsia" w:ascii="仿宋_GB2312" w:hAnsi="宋体" w:eastAsia="仿宋_GB2312" w:cs="宋体"/>
          <w:color w:val="000000"/>
          <w:sz w:val="32"/>
          <w:szCs w:val="32"/>
        </w:rPr>
        <w:t xml:space="preserve"> 施工单位应当确定一名或多名负责安全保卫的人员，负责与学院保卫科联系相关工作，并协助学院保卫科对治安、防火等工作检查。</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第十六条</w:t>
      </w:r>
      <w:r>
        <w:rPr>
          <w:rFonts w:hint="eastAsia" w:ascii="仿宋_GB2312" w:hAnsi="宋体" w:eastAsia="仿宋_GB2312" w:cs="宋体"/>
          <w:b/>
          <w:color w:val="000000"/>
          <w:sz w:val="32"/>
          <w:szCs w:val="32"/>
          <w:lang w:val="en-US" w:eastAsia="zh-CN"/>
        </w:rPr>
        <w:t xml:space="preserve">  </w:t>
      </w:r>
      <w:r>
        <w:rPr>
          <w:rFonts w:hint="eastAsia" w:ascii="仿宋_GB2312" w:hAnsi="宋体" w:eastAsia="仿宋_GB2312" w:cs="宋体"/>
          <w:color w:val="000000"/>
          <w:sz w:val="32"/>
          <w:szCs w:val="32"/>
        </w:rPr>
        <w:t>在院施工期间，严禁使用电炉、液化气罐、煤球（饼）炉、各类取暖器以及明火灶具，严禁私拉乱接电灯电线。</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第十七条</w:t>
      </w:r>
      <w:r>
        <w:rPr>
          <w:rFonts w:hint="eastAsia" w:ascii="仿宋_GB2312" w:hAnsi="宋体" w:eastAsia="仿宋_GB2312" w:cs="宋体"/>
          <w:b/>
          <w:color w:val="000000"/>
          <w:sz w:val="32"/>
          <w:szCs w:val="32"/>
          <w:lang w:val="en-US" w:eastAsia="zh-CN"/>
        </w:rPr>
        <w:t xml:space="preserve">  </w:t>
      </w:r>
      <w:r>
        <w:rPr>
          <w:rFonts w:hint="eastAsia" w:ascii="仿宋_GB2312" w:hAnsi="宋体" w:eastAsia="仿宋_GB2312" w:cs="宋体"/>
          <w:color w:val="000000"/>
          <w:sz w:val="32"/>
          <w:szCs w:val="32"/>
        </w:rPr>
        <w:t>在施工中所清除的建筑垃圾应在学院指定地方堆放，施工结束后，必须对施工产生的垃圾进行清除和打扫。安全与</w:t>
      </w:r>
      <w:r>
        <w:rPr>
          <w:rFonts w:ascii="仿宋_GB2312" w:hAnsi="宋体" w:eastAsia="仿宋_GB2312" w:cs="宋体"/>
          <w:color w:val="000000"/>
          <w:sz w:val="32"/>
          <w:szCs w:val="32"/>
        </w:rPr>
        <w:t>后勤保障</w:t>
      </w:r>
      <w:r>
        <w:rPr>
          <w:rFonts w:hint="eastAsia" w:ascii="仿宋_GB2312" w:hAnsi="宋体" w:eastAsia="仿宋_GB2312" w:cs="宋体"/>
          <w:color w:val="000000"/>
          <w:sz w:val="32"/>
          <w:szCs w:val="32"/>
          <w:lang w:val="en-US" w:eastAsia="zh-CN"/>
        </w:rPr>
        <w:t>处</w:t>
      </w:r>
      <w:r>
        <w:rPr>
          <w:rFonts w:hint="eastAsia" w:ascii="仿宋_GB2312" w:hAnsi="宋体" w:eastAsia="仿宋_GB2312" w:cs="宋体"/>
          <w:color w:val="000000"/>
          <w:sz w:val="32"/>
          <w:szCs w:val="32"/>
        </w:rPr>
        <w:t>有权对其检查、监督，以确保安全生产、文明施工。</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第十八条</w:t>
      </w:r>
      <w:r>
        <w:rPr>
          <w:rFonts w:hint="eastAsia" w:ascii="仿宋_GB2312" w:hAnsi="宋体" w:eastAsia="仿宋_GB2312" w:cs="宋体"/>
          <w:color w:val="000000"/>
          <w:sz w:val="32"/>
          <w:szCs w:val="32"/>
        </w:rPr>
        <w:t>　施工结束后，由学院相关职能部门、项目建设</w:t>
      </w:r>
      <w:r>
        <w:rPr>
          <w:rFonts w:ascii="仿宋_GB2312" w:hAnsi="宋体" w:eastAsia="仿宋_GB2312" w:cs="宋体"/>
          <w:color w:val="000000"/>
          <w:sz w:val="32"/>
          <w:szCs w:val="32"/>
        </w:rPr>
        <w:t>部门</w:t>
      </w:r>
      <w:r>
        <w:rPr>
          <w:rFonts w:hint="eastAsia" w:ascii="仿宋_GB2312" w:hAnsi="宋体" w:eastAsia="仿宋_GB2312" w:cs="宋体"/>
          <w:color w:val="000000"/>
          <w:sz w:val="32"/>
          <w:szCs w:val="32"/>
        </w:rPr>
        <w:t>等单位共同对涉</w:t>
      </w:r>
      <w:r>
        <w:rPr>
          <w:rFonts w:ascii="仿宋_GB2312" w:hAnsi="宋体" w:eastAsia="仿宋_GB2312" w:cs="宋体"/>
          <w:color w:val="000000"/>
          <w:sz w:val="32"/>
          <w:szCs w:val="32"/>
        </w:rPr>
        <w:t>及安全方面</w:t>
      </w:r>
      <w:r>
        <w:rPr>
          <w:rFonts w:hint="eastAsia" w:ascii="仿宋_GB2312" w:hAnsi="宋体" w:eastAsia="仿宋_GB2312" w:cs="宋体"/>
          <w:color w:val="000000"/>
          <w:sz w:val="32"/>
          <w:szCs w:val="32"/>
        </w:rPr>
        <w:t>施工进行验收，合格后方能办理离校手续。</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第十九条</w:t>
      </w:r>
      <w:r>
        <w:rPr>
          <w:rFonts w:hint="eastAsia" w:ascii="仿宋_GB2312" w:hAnsi="宋体" w:eastAsia="仿宋_GB2312" w:cs="宋体"/>
          <w:b/>
          <w:color w:val="000000"/>
          <w:sz w:val="32"/>
          <w:szCs w:val="32"/>
          <w:lang w:val="en-US" w:eastAsia="zh-CN"/>
        </w:rPr>
        <w:t xml:space="preserve">  </w:t>
      </w:r>
      <w:r>
        <w:rPr>
          <w:rFonts w:hint="eastAsia" w:ascii="仿宋_GB2312" w:hAnsi="宋体" w:eastAsia="仿宋_GB2312" w:cs="宋体"/>
          <w:color w:val="000000"/>
          <w:sz w:val="32"/>
          <w:szCs w:val="32"/>
        </w:rPr>
        <w:t>在院施工单位及施工人员应当遵守本规定、双方签署的《北京青年政治学院施工安全责任书》及相关责任书的有关内容。对违反本规定的，学院将视情节采取必要的处理措施，对违反国家法律、法令、法规的，移交司法部门依法处理。</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sz w:val="32"/>
          <w:szCs w:val="32"/>
        </w:rPr>
        <w:t>第二十条</w:t>
      </w:r>
      <w:r>
        <w:rPr>
          <w:rFonts w:hint="eastAsia" w:ascii="仿宋_GB2312" w:hAnsi="宋体" w:eastAsia="仿宋_GB2312" w:cs="宋体"/>
          <w:b/>
          <w:sz w:val="32"/>
          <w:szCs w:val="32"/>
          <w:lang w:val="en-US" w:eastAsia="zh-CN"/>
        </w:rPr>
        <w:t xml:space="preserve">  </w:t>
      </w:r>
      <w:r>
        <w:rPr>
          <w:rFonts w:hint="eastAsia" w:ascii="仿宋_GB2312" w:hAnsi="宋体" w:eastAsia="仿宋_GB2312" w:cs="宋体"/>
          <w:color w:val="000000"/>
          <w:sz w:val="32"/>
          <w:szCs w:val="32"/>
        </w:rPr>
        <w:t>本规定由安全与</w:t>
      </w:r>
      <w:r>
        <w:rPr>
          <w:rFonts w:ascii="仿宋_GB2312" w:hAnsi="宋体" w:eastAsia="仿宋_GB2312" w:cs="宋体"/>
          <w:color w:val="000000"/>
          <w:sz w:val="32"/>
          <w:szCs w:val="32"/>
        </w:rPr>
        <w:t>后勤保障处</w:t>
      </w:r>
      <w:r>
        <w:rPr>
          <w:rFonts w:hint="eastAsia" w:ascii="仿宋_GB2312" w:hAnsi="宋体" w:eastAsia="仿宋_GB2312" w:cs="宋体"/>
          <w:color w:val="000000"/>
          <w:sz w:val="32"/>
          <w:szCs w:val="32"/>
        </w:rPr>
        <w:t>负责解释。</w:t>
      </w:r>
    </w:p>
    <w:p>
      <w:pPr>
        <w:spacing w:line="560" w:lineRule="exact"/>
        <w:ind w:firstLine="608" w:firstLineChars="200"/>
        <w:rPr>
          <w:rFonts w:ascii="仿宋_GB2312" w:hAnsi="宋体" w:eastAsia="仿宋_GB2312" w:cs="宋体"/>
          <w:color w:val="000000"/>
          <w:sz w:val="32"/>
          <w:szCs w:val="32"/>
        </w:rPr>
      </w:pPr>
      <w:r>
        <w:rPr>
          <w:rFonts w:hint="eastAsia" w:ascii="仿宋_GB2312" w:hAnsi="宋体" w:eastAsia="仿宋_GB2312" w:cs="宋体"/>
          <w:b/>
          <w:color w:val="000000"/>
          <w:sz w:val="32"/>
          <w:szCs w:val="32"/>
        </w:rPr>
        <w:t>第二十一条</w:t>
      </w:r>
      <w:r>
        <w:rPr>
          <w:rFonts w:hint="eastAsia" w:ascii="仿宋_GB2312" w:hAnsi="宋体" w:eastAsia="仿宋_GB2312" w:cs="宋体"/>
          <w:b/>
          <w:color w:val="000000"/>
          <w:sz w:val="32"/>
          <w:szCs w:val="32"/>
          <w:lang w:val="en-US" w:eastAsia="zh-CN"/>
        </w:rPr>
        <w:t xml:space="preserve">  </w:t>
      </w:r>
      <w:r>
        <w:rPr>
          <w:rFonts w:hint="eastAsia" w:ascii="仿宋_GB2312" w:hAnsi="宋体" w:eastAsia="仿宋_GB2312" w:cs="宋体"/>
          <w:color w:val="000000"/>
          <w:sz w:val="32"/>
          <w:szCs w:val="32"/>
        </w:rPr>
        <w:t>本办法自发布</w:t>
      </w:r>
      <w:r>
        <w:rPr>
          <w:rFonts w:ascii="仿宋_GB2312" w:hAnsi="宋体" w:eastAsia="仿宋_GB2312" w:cs="宋体"/>
          <w:color w:val="000000"/>
          <w:sz w:val="32"/>
          <w:szCs w:val="32"/>
        </w:rPr>
        <w:t>之日</w:t>
      </w:r>
      <w:r>
        <w:rPr>
          <w:rFonts w:hint="eastAsia" w:ascii="仿宋_GB2312" w:hAnsi="宋体" w:eastAsia="仿宋_GB2312" w:cs="宋体"/>
          <w:color w:val="000000"/>
          <w:sz w:val="32"/>
          <w:szCs w:val="32"/>
        </w:rPr>
        <w:t>起</w:t>
      </w:r>
      <w:r>
        <w:rPr>
          <w:rFonts w:ascii="仿宋_GB2312" w:hAnsi="宋体" w:eastAsia="仿宋_GB2312" w:cs="宋体"/>
          <w:color w:val="000000"/>
          <w:sz w:val="32"/>
          <w:szCs w:val="32"/>
        </w:rPr>
        <w:t>执行</w:t>
      </w:r>
      <w:r>
        <w:rPr>
          <w:rFonts w:hint="eastAsia" w:ascii="仿宋_GB2312" w:hAnsi="宋体" w:eastAsia="仿宋_GB2312" w:cs="宋体"/>
          <w:color w:val="000000"/>
          <w:sz w:val="32"/>
          <w:szCs w:val="32"/>
        </w:rPr>
        <w:t>。</w:t>
      </w:r>
    </w:p>
    <w:p>
      <w:pPr>
        <w:spacing w:line="560" w:lineRule="exact"/>
        <w:rPr>
          <w:rFonts w:ascii="仿宋_GB2312" w:hAnsi="宋体" w:eastAsia="仿宋_GB2312" w:cs="宋体"/>
          <w:color w:val="000000"/>
          <w:sz w:val="32"/>
          <w:szCs w:val="32"/>
        </w:rPr>
      </w:pPr>
    </w:p>
    <w:p>
      <w:pPr>
        <w:spacing w:line="560" w:lineRule="exact"/>
        <w:contextualSpacing/>
        <w:jc w:val="left"/>
        <w:rPr>
          <w:rFonts w:hint="eastAsia" w:ascii="仿宋_GB2312" w:eastAsia="仿宋_GB2312"/>
          <w:sz w:val="32"/>
          <w:szCs w:val="32"/>
        </w:rPr>
      </w:pPr>
    </w:p>
    <w:tbl>
      <w:tblPr>
        <w:tblStyle w:val="11"/>
        <w:tblpPr w:leftFromText="180" w:rightFromText="180" w:vertAnchor="page" w:horzAnchor="margin" w:tblpY="1426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4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8844" w:type="dxa"/>
            <w:tcBorders>
              <w:top w:val="single" w:color="auto" w:sz="4" w:space="0"/>
              <w:left w:val="nil"/>
              <w:bottom w:val="single" w:color="auto" w:sz="4" w:space="0"/>
              <w:right w:val="nil"/>
            </w:tcBorders>
            <w:noWrap w:val="0"/>
            <w:vAlign w:val="top"/>
          </w:tcPr>
          <w:p>
            <w:pPr>
              <w:spacing w:line="560" w:lineRule="exact"/>
              <w:ind w:firstLine="264" w:firstLineChars="100"/>
              <w:rPr>
                <w:sz w:val="28"/>
                <w:szCs w:val="28"/>
              </w:rPr>
            </w:pPr>
            <w:r>
              <w:rPr>
                <w:rFonts w:hint="eastAsia" w:ascii="仿宋_GB2312" w:eastAsia="仿宋_GB2312"/>
                <w:sz w:val="28"/>
                <w:szCs w:val="28"/>
              </w:rPr>
              <w:t xml:space="preserve">党政办公室                              </w:t>
            </w:r>
            <w:r>
              <w:rPr>
                <w:rFonts w:hint="eastAsia" w:ascii="仿宋_GB2312" w:eastAsia="仿宋_GB2312"/>
                <w:sz w:val="28"/>
                <w:szCs w:val="28"/>
                <w:lang w:val="en-US" w:eastAsia="zh-CN"/>
              </w:rPr>
              <w:t xml:space="preserve">    </w:t>
            </w:r>
            <w:r>
              <w:rPr>
                <w:rFonts w:hint="eastAsia" w:ascii="仿宋_GB2312" w:eastAsia="仿宋_GB2312"/>
                <w:sz w:val="28"/>
                <w:szCs w:val="28"/>
              </w:rPr>
              <w:t>20</w:t>
            </w:r>
            <w:r>
              <w:rPr>
                <w:rFonts w:hint="eastAsia" w:ascii="仿宋_GB2312" w:eastAsia="仿宋_GB2312"/>
                <w:sz w:val="28"/>
                <w:szCs w:val="28"/>
                <w:lang w:val="en-US" w:eastAsia="zh-CN"/>
              </w:rPr>
              <w:t>25</w:t>
            </w:r>
            <w:r>
              <w:rPr>
                <w:rFonts w:hint="eastAsia" w:ascii="仿宋_GB2312" w:eastAsia="仿宋_GB2312"/>
                <w:sz w:val="28"/>
                <w:szCs w:val="28"/>
              </w:rPr>
              <w:t>年</w:t>
            </w:r>
            <w:r>
              <w:rPr>
                <w:rFonts w:hint="eastAsia" w:ascii="仿宋_GB2312" w:eastAsia="仿宋_GB2312"/>
                <w:sz w:val="28"/>
                <w:szCs w:val="28"/>
                <w:lang w:val="en-US" w:eastAsia="zh-CN"/>
              </w:rPr>
              <w:t>7</w:t>
            </w:r>
            <w:r>
              <w:rPr>
                <w:rFonts w:hint="eastAsia" w:ascii="仿宋_GB2312" w:eastAsia="仿宋_GB2312"/>
                <w:sz w:val="28"/>
                <w:szCs w:val="28"/>
              </w:rPr>
              <w:t>月</w:t>
            </w:r>
            <w:r>
              <w:rPr>
                <w:rFonts w:hint="eastAsia" w:ascii="仿宋_GB2312" w:eastAsia="仿宋_GB2312"/>
                <w:sz w:val="28"/>
                <w:szCs w:val="28"/>
                <w:lang w:val="en-US" w:eastAsia="zh-CN"/>
              </w:rPr>
              <w:t>11</w:t>
            </w:r>
            <w:r>
              <w:rPr>
                <w:rFonts w:hint="eastAsia" w:ascii="仿宋_GB2312" w:eastAsia="仿宋_GB2312"/>
                <w:sz w:val="28"/>
                <w:szCs w:val="28"/>
              </w:rPr>
              <w:t>日印发</w:t>
            </w:r>
          </w:p>
        </w:tc>
      </w:tr>
    </w:tbl>
    <w:p>
      <w:pPr>
        <w:spacing w:line="360" w:lineRule="auto"/>
        <w:ind w:firstLine="560" w:firstLineChars="250"/>
        <w:rPr>
          <w:rFonts w:ascii="宋体" w:hAnsi="宋体"/>
          <w:sz w:val="24"/>
        </w:rPr>
      </w:pPr>
    </w:p>
    <w:p>
      <w:pPr>
        <w:pStyle w:val="4"/>
        <w:spacing w:line="460" w:lineRule="exact"/>
        <w:rPr>
          <w:rFonts w:ascii="宋体" w:hAnsi="宋体" w:eastAsia="宋体"/>
          <w:sz w:val="24"/>
        </w:rPr>
      </w:pPr>
    </w:p>
    <w:p>
      <w:pPr>
        <w:pStyle w:val="4"/>
        <w:spacing w:line="460" w:lineRule="exact"/>
        <w:rPr>
          <w:rFonts w:ascii="宋体" w:hAnsi="宋体" w:eastAsia="宋体"/>
          <w:sz w:val="24"/>
        </w:rPr>
      </w:pPr>
    </w:p>
    <w:p>
      <w:pPr>
        <w:pStyle w:val="4"/>
        <w:spacing w:line="460" w:lineRule="exact"/>
        <w:rPr>
          <w:rFonts w:hint="eastAsia" w:ascii="宋体" w:hAnsi="宋体" w:eastAsia="宋体"/>
          <w:sz w:val="24"/>
        </w:rPr>
      </w:pPr>
    </w:p>
    <w:sectPr>
      <w:headerReference r:id="rId3" w:type="default"/>
      <w:footerReference r:id="rId4" w:type="default"/>
      <w:footerReference r:id="rId5" w:type="even"/>
      <w:pgSz w:w="11906" w:h="16838"/>
      <w:pgMar w:top="2098" w:right="1474" w:bottom="1984" w:left="1587" w:header="851" w:footer="992" w:gutter="0"/>
      <w:pgNumType w:fmt="decimal"/>
      <w:cols w:space="720" w:num="1"/>
      <w:docGrid w:type="linesAndChars" w:linePitch="312"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Tw Cen MT">
    <w:panose1 w:val="020B0602020104020603"/>
    <w:charset w:val="00"/>
    <w:family w:val="auto"/>
    <w:pitch w:val="default"/>
    <w:sig w:usb0="00000003" w:usb1="00000000" w:usb2="00000000" w:usb3="00000000" w:csb0="20000003"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93"/>
  <w:drawingGridVerticalSpacing w:val="156"/>
  <w:displayHorizontalDrawingGridEvery w:val="1"/>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ODQyMDg0ODM5NjE4OTJiNTc0ZjAwN2RlMDdkOTYifQ=="/>
  </w:docVars>
  <w:rsids>
    <w:rsidRoot w:val="40B92E17"/>
    <w:rsid w:val="00006177"/>
    <w:rsid w:val="00015F2B"/>
    <w:rsid w:val="00017289"/>
    <w:rsid w:val="00023597"/>
    <w:rsid w:val="000625CD"/>
    <w:rsid w:val="00086646"/>
    <w:rsid w:val="00095328"/>
    <w:rsid w:val="000B4257"/>
    <w:rsid w:val="000B775A"/>
    <w:rsid w:val="000C1680"/>
    <w:rsid w:val="000D1525"/>
    <w:rsid w:val="000D5D9B"/>
    <w:rsid w:val="000F1220"/>
    <w:rsid w:val="00104C78"/>
    <w:rsid w:val="00111F7B"/>
    <w:rsid w:val="0011470F"/>
    <w:rsid w:val="00114B56"/>
    <w:rsid w:val="00126EDD"/>
    <w:rsid w:val="0013322A"/>
    <w:rsid w:val="00133D32"/>
    <w:rsid w:val="00137C3B"/>
    <w:rsid w:val="00141227"/>
    <w:rsid w:val="00151422"/>
    <w:rsid w:val="00161295"/>
    <w:rsid w:val="001B11DB"/>
    <w:rsid w:val="001B3220"/>
    <w:rsid w:val="001D1AF9"/>
    <w:rsid w:val="001D47C2"/>
    <w:rsid w:val="001D613A"/>
    <w:rsid w:val="001F3965"/>
    <w:rsid w:val="002034BC"/>
    <w:rsid w:val="00220B7B"/>
    <w:rsid w:val="002249D8"/>
    <w:rsid w:val="002466E7"/>
    <w:rsid w:val="00250757"/>
    <w:rsid w:val="00264823"/>
    <w:rsid w:val="00275D0F"/>
    <w:rsid w:val="002829E4"/>
    <w:rsid w:val="002879B6"/>
    <w:rsid w:val="00287B4C"/>
    <w:rsid w:val="002C08AF"/>
    <w:rsid w:val="002F2A2F"/>
    <w:rsid w:val="002F5431"/>
    <w:rsid w:val="00300B29"/>
    <w:rsid w:val="00312EE5"/>
    <w:rsid w:val="00330BA0"/>
    <w:rsid w:val="00340EC1"/>
    <w:rsid w:val="00345CC8"/>
    <w:rsid w:val="003474D4"/>
    <w:rsid w:val="003530C2"/>
    <w:rsid w:val="00383EE4"/>
    <w:rsid w:val="003A76FC"/>
    <w:rsid w:val="003B6915"/>
    <w:rsid w:val="003C1845"/>
    <w:rsid w:val="003E218C"/>
    <w:rsid w:val="003E3B0F"/>
    <w:rsid w:val="003E7648"/>
    <w:rsid w:val="00400DC5"/>
    <w:rsid w:val="00405B43"/>
    <w:rsid w:val="004259E8"/>
    <w:rsid w:val="004276EB"/>
    <w:rsid w:val="0043079A"/>
    <w:rsid w:val="004369FF"/>
    <w:rsid w:val="00452993"/>
    <w:rsid w:val="0046783F"/>
    <w:rsid w:val="00470836"/>
    <w:rsid w:val="0047180F"/>
    <w:rsid w:val="004B3A05"/>
    <w:rsid w:val="004C293E"/>
    <w:rsid w:val="004D03A0"/>
    <w:rsid w:val="004D7C9D"/>
    <w:rsid w:val="004F102E"/>
    <w:rsid w:val="004F784D"/>
    <w:rsid w:val="005019E4"/>
    <w:rsid w:val="00510B94"/>
    <w:rsid w:val="005157AB"/>
    <w:rsid w:val="005305A2"/>
    <w:rsid w:val="0055012E"/>
    <w:rsid w:val="005504A5"/>
    <w:rsid w:val="0055476F"/>
    <w:rsid w:val="00562F1C"/>
    <w:rsid w:val="0059204B"/>
    <w:rsid w:val="005932E3"/>
    <w:rsid w:val="005B276C"/>
    <w:rsid w:val="005F2531"/>
    <w:rsid w:val="005F5682"/>
    <w:rsid w:val="006014AA"/>
    <w:rsid w:val="006378E7"/>
    <w:rsid w:val="00643E46"/>
    <w:rsid w:val="00662475"/>
    <w:rsid w:val="00676566"/>
    <w:rsid w:val="00685FED"/>
    <w:rsid w:val="006B1C38"/>
    <w:rsid w:val="006C7666"/>
    <w:rsid w:val="006D10BF"/>
    <w:rsid w:val="006E3051"/>
    <w:rsid w:val="006F59D7"/>
    <w:rsid w:val="006F618C"/>
    <w:rsid w:val="0071137E"/>
    <w:rsid w:val="00712738"/>
    <w:rsid w:val="00715E1D"/>
    <w:rsid w:val="00717F94"/>
    <w:rsid w:val="00725C77"/>
    <w:rsid w:val="007379FA"/>
    <w:rsid w:val="007420C3"/>
    <w:rsid w:val="00760A01"/>
    <w:rsid w:val="007766A1"/>
    <w:rsid w:val="0078377F"/>
    <w:rsid w:val="007C18C8"/>
    <w:rsid w:val="007E0D77"/>
    <w:rsid w:val="007F08F7"/>
    <w:rsid w:val="007F70B5"/>
    <w:rsid w:val="0080516C"/>
    <w:rsid w:val="00833915"/>
    <w:rsid w:val="008605AA"/>
    <w:rsid w:val="008A58D6"/>
    <w:rsid w:val="008C4141"/>
    <w:rsid w:val="008E546C"/>
    <w:rsid w:val="008F0F9C"/>
    <w:rsid w:val="0090056D"/>
    <w:rsid w:val="00906AA9"/>
    <w:rsid w:val="009076A3"/>
    <w:rsid w:val="009233D8"/>
    <w:rsid w:val="009642E5"/>
    <w:rsid w:val="009951B5"/>
    <w:rsid w:val="009D58A2"/>
    <w:rsid w:val="009D7A41"/>
    <w:rsid w:val="009E47D4"/>
    <w:rsid w:val="009E6F72"/>
    <w:rsid w:val="00A0333B"/>
    <w:rsid w:val="00A130BB"/>
    <w:rsid w:val="00A24442"/>
    <w:rsid w:val="00A37B33"/>
    <w:rsid w:val="00A37E07"/>
    <w:rsid w:val="00A5146E"/>
    <w:rsid w:val="00A52AD0"/>
    <w:rsid w:val="00A61EB0"/>
    <w:rsid w:val="00A65700"/>
    <w:rsid w:val="00A6584F"/>
    <w:rsid w:val="00A80231"/>
    <w:rsid w:val="00A839D5"/>
    <w:rsid w:val="00A97C87"/>
    <w:rsid w:val="00AA4BF8"/>
    <w:rsid w:val="00AA675D"/>
    <w:rsid w:val="00AC4F13"/>
    <w:rsid w:val="00AD7C64"/>
    <w:rsid w:val="00AE6FFD"/>
    <w:rsid w:val="00AF4F25"/>
    <w:rsid w:val="00B02C7C"/>
    <w:rsid w:val="00B16403"/>
    <w:rsid w:val="00B22818"/>
    <w:rsid w:val="00B23A95"/>
    <w:rsid w:val="00B24B39"/>
    <w:rsid w:val="00B52270"/>
    <w:rsid w:val="00B71A94"/>
    <w:rsid w:val="00B75F9F"/>
    <w:rsid w:val="00B76F6C"/>
    <w:rsid w:val="00B84104"/>
    <w:rsid w:val="00B87712"/>
    <w:rsid w:val="00B9209C"/>
    <w:rsid w:val="00BA3735"/>
    <w:rsid w:val="00BB6929"/>
    <w:rsid w:val="00BC06E3"/>
    <w:rsid w:val="00BE5066"/>
    <w:rsid w:val="00C378DE"/>
    <w:rsid w:val="00C562D0"/>
    <w:rsid w:val="00C75FF6"/>
    <w:rsid w:val="00C9183B"/>
    <w:rsid w:val="00C93B00"/>
    <w:rsid w:val="00D2198C"/>
    <w:rsid w:val="00D371DB"/>
    <w:rsid w:val="00D560A2"/>
    <w:rsid w:val="00D61C5C"/>
    <w:rsid w:val="00D74F07"/>
    <w:rsid w:val="00DB6C7B"/>
    <w:rsid w:val="00DE5692"/>
    <w:rsid w:val="00E21479"/>
    <w:rsid w:val="00E3770A"/>
    <w:rsid w:val="00E40AFD"/>
    <w:rsid w:val="00E431B5"/>
    <w:rsid w:val="00E4704B"/>
    <w:rsid w:val="00E67927"/>
    <w:rsid w:val="00E833C8"/>
    <w:rsid w:val="00EA0C29"/>
    <w:rsid w:val="00EB096B"/>
    <w:rsid w:val="00EC1446"/>
    <w:rsid w:val="00EC52E2"/>
    <w:rsid w:val="00ED52C4"/>
    <w:rsid w:val="00F0130A"/>
    <w:rsid w:val="00F51EEA"/>
    <w:rsid w:val="00F750EE"/>
    <w:rsid w:val="00FC7D5D"/>
    <w:rsid w:val="00FD2217"/>
    <w:rsid w:val="00FE4261"/>
    <w:rsid w:val="00FE6F6D"/>
    <w:rsid w:val="02117D9A"/>
    <w:rsid w:val="0227136C"/>
    <w:rsid w:val="022F4A4F"/>
    <w:rsid w:val="030721D2"/>
    <w:rsid w:val="04253FDA"/>
    <w:rsid w:val="049D2967"/>
    <w:rsid w:val="04CF38D8"/>
    <w:rsid w:val="05932FE2"/>
    <w:rsid w:val="05D77224"/>
    <w:rsid w:val="05E47843"/>
    <w:rsid w:val="064E6928"/>
    <w:rsid w:val="06AA76FC"/>
    <w:rsid w:val="07B354B0"/>
    <w:rsid w:val="08A3063C"/>
    <w:rsid w:val="095601B2"/>
    <w:rsid w:val="0966617B"/>
    <w:rsid w:val="09E9764E"/>
    <w:rsid w:val="0A3862DA"/>
    <w:rsid w:val="0A60541B"/>
    <w:rsid w:val="0B01399E"/>
    <w:rsid w:val="0C3E79DE"/>
    <w:rsid w:val="0CD92226"/>
    <w:rsid w:val="0D0D65DF"/>
    <w:rsid w:val="0DCF3817"/>
    <w:rsid w:val="0E381426"/>
    <w:rsid w:val="0EC23A25"/>
    <w:rsid w:val="0F914E6A"/>
    <w:rsid w:val="10502A57"/>
    <w:rsid w:val="10B54B56"/>
    <w:rsid w:val="10BD3B56"/>
    <w:rsid w:val="11590C40"/>
    <w:rsid w:val="11725246"/>
    <w:rsid w:val="11A101E8"/>
    <w:rsid w:val="1220292D"/>
    <w:rsid w:val="140164DF"/>
    <w:rsid w:val="14087CD1"/>
    <w:rsid w:val="14F43BD5"/>
    <w:rsid w:val="15460D75"/>
    <w:rsid w:val="155E2E9F"/>
    <w:rsid w:val="15F212F0"/>
    <w:rsid w:val="16F2606B"/>
    <w:rsid w:val="17707100"/>
    <w:rsid w:val="185B6328"/>
    <w:rsid w:val="19632DB3"/>
    <w:rsid w:val="199E1DDC"/>
    <w:rsid w:val="19A2611B"/>
    <w:rsid w:val="19E74525"/>
    <w:rsid w:val="1A81291D"/>
    <w:rsid w:val="1ACB068F"/>
    <w:rsid w:val="1B475687"/>
    <w:rsid w:val="1D334C6D"/>
    <w:rsid w:val="1D7768AC"/>
    <w:rsid w:val="1EFA7794"/>
    <w:rsid w:val="1F936DDB"/>
    <w:rsid w:val="207728D1"/>
    <w:rsid w:val="21702AE9"/>
    <w:rsid w:val="22340612"/>
    <w:rsid w:val="23A07989"/>
    <w:rsid w:val="248562B5"/>
    <w:rsid w:val="25383CC9"/>
    <w:rsid w:val="268C06BF"/>
    <w:rsid w:val="26B02F10"/>
    <w:rsid w:val="287B1B6D"/>
    <w:rsid w:val="28972889"/>
    <w:rsid w:val="28F45255"/>
    <w:rsid w:val="2958491A"/>
    <w:rsid w:val="29C56976"/>
    <w:rsid w:val="2A4D375E"/>
    <w:rsid w:val="2A817F0C"/>
    <w:rsid w:val="2ABD41BE"/>
    <w:rsid w:val="2B0A5203"/>
    <w:rsid w:val="2C306914"/>
    <w:rsid w:val="2E070A94"/>
    <w:rsid w:val="2E1B50D1"/>
    <w:rsid w:val="2F06012B"/>
    <w:rsid w:val="2F0A2969"/>
    <w:rsid w:val="2F13360E"/>
    <w:rsid w:val="30110AE9"/>
    <w:rsid w:val="312B28BA"/>
    <w:rsid w:val="33A132C4"/>
    <w:rsid w:val="3439473C"/>
    <w:rsid w:val="34856DB9"/>
    <w:rsid w:val="34D96592"/>
    <w:rsid w:val="35485811"/>
    <w:rsid w:val="35487054"/>
    <w:rsid w:val="35946F77"/>
    <w:rsid w:val="35E53E0E"/>
    <w:rsid w:val="36164825"/>
    <w:rsid w:val="36400A9C"/>
    <w:rsid w:val="37253E8A"/>
    <w:rsid w:val="37C83693"/>
    <w:rsid w:val="37D534AD"/>
    <w:rsid w:val="392639D2"/>
    <w:rsid w:val="394F2215"/>
    <w:rsid w:val="39A10D8F"/>
    <w:rsid w:val="3C111A19"/>
    <w:rsid w:val="3C650B48"/>
    <w:rsid w:val="3CB44AA5"/>
    <w:rsid w:val="3D442BFA"/>
    <w:rsid w:val="3D6F6B24"/>
    <w:rsid w:val="3E256DE6"/>
    <w:rsid w:val="3E3A6E65"/>
    <w:rsid w:val="3EB15206"/>
    <w:rsid w:val="3F347598"/>
    <w:rsid w:val="3F6031EC"/>
    <w:rsid w:val="40006F86"/>
    <w:rsid w:val="4093139F"/>
    <w:rsid w:val="40B92E17"/>
    <w:rsid w:val="40BD01CE"/>
    <w:rsid w:val="40D16AE4"/>
    <w:rsid w:val="410771A3"/>
    <w:rsid w:val="414315BF"/>
    <w:rsid w:val="41F93484"/>
    <w:rsid w:val="428242AC"/>
    <w:rsid w:val="429F3F92"/>
    <w:rsid w:val="434669FC"/>
    <w:rsid w:val="466315A0"/>
    <w:rsid w:val="47C144AA"/>
    <w:rsid w:val="47EF0A46"/>
    <w:rsid w:val="48E22EC4"/>
    <w:rsid w:val="48FE67DD"/>
    <w:rsid w:val="490C1416"/>
    <w:rsid w:val="491A08B0"/>
    <w:rsid w:val="49641B2B"/>
    <w:rsid w:val="4A797D06"/>
    <w:rsid w:val="4B67779D"/>
    <w:rsid w:val="4D0478AD"/>
    <w:rsid w:val="4DA628E0"/>
    <w:rsid w:val="4DAD3AA0"/>
    <w:rsid w:val="4E08517B"/>
    <w:rsid w:val="4E457E7F"/>
    <w:rsid w:val="4F2B4B6D"/>
    <w:rsid w:val="4F606449"/>
    <w:rsid w:val="4F8A121F"/>
    <w:rsid w:val="51682B2E"/>
    <w:rsid w:val="55654FA7"/>
    <w:rsid w:val="562C6A20"/>
    <w:rsid w:val="5885092B"/>
    <w:rsid w:val="58CF0CC3"/>
    <w:rsid w:val="593622D0"/>
    <w:rsid w:val="5A21156A"/>
    <w:rsid w:val="5AB0674B"/>
    <w:rsid w:val="5D7A5DE9"/>
    <w:rsid w:val="5DE454C5"/>
    <w:rsid w:val="5FDC227E"/>
    <w:rsid w:val="61EE40B9"/>
    <w:rsid w:val="62AB1A46"/>
    <w:rsid w:val="63783FDF"/>
    <w:rsid w:val="64AC7168"/>
    <w:rsid w:val="6518584B"/>
    <w:rsid w:val="652C1FFF"/>
    <w:rsid w:val="6578453C"/>
    <w:rsid w:val="663B4870"/>
    <w:rsid w:val="66961427"/>
    <w:rsid w:val="66C145A2"/>
    <w:rsid w:val="673C7888"/>
    <w:rsid w:val="67534EB0"/>
    <w:rsid w:val="67A930D3"/>
    <w:rsid w:val="68AA6B59"/>
    <w:rsid w:val="6AD906B6"/>
    <w:rsid w:val="6BE44775"/>
    <w:rsid w:val="6D953FA7"/>
    <w:rsid w:val="6F25474C"/>
    <w:rsid w:val="708C7150"/>
    <w:rsid w:val="7101188A"/>
    <w:rsid w:val="710D10C6"/>
    <w:rsid w:val="72CC4119"/>
    <w:rsid w:val="72D97A0E"/>
    <w:rsid w:val="73BC7A63"/>
    <w:rsid w:val="742E272F"/>
    <w:rsid w:val="763C5322"/>
    <w:rsid w:val="77374910"/>
    <w:rsid w:val="77EB160A"/>
    <w:rsid w:val="78006D3F"/>
    <w:rsid w:val="782F5CA9"/>
    <w:rsid w:val="786B4899"/>
    <w:rsid w:val="79663F36"/>
    <w:rsid w:val="7B334F2B"/>
    <w:rsid w:val="7B733CF4"/>
    <w:rsid w:val="7C4F3DF1"/>
    <w:rsid w:val="7C6E1430"/>
    <w:rsid w:val="7C9A50A1"/>
    <w:rsid w:val="7ED73BCA"/>
    <w:rsid w:val="7F7A123D"/>
    <w:rsid w:val="7FED213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12">
    <w:name w:val="Default Paragraph Font"/>
    <w:unhideWhenUsed/>
    <w:uiPriority w:val="0"/>
  </w:style>
  <w:style w:type="table" w:default="1" w:styleId="11">
    <w:name w:val="Normal Table"/>
    <w:unhideWhenUsed/>
    <w:uiPriority w:val="99"/>
    <w:tblPr>
      <w:tblCellMar>
        <w:top w:w="0" w:type="dxa"/>
        <w:left w:w="108" w:type="dxa"/>
        <w:bottom w:w="0" w:type="dxa"/>
        <w:right w:w="108" w:type="dxa"/>
      </w:tblCellMar>
    </w:tblPr>
  </w:style>
  <w:style w:type="paragraph" w:styleId="3">
    <w:name w:val="annotation text"/>
    <w:basedOn w:val="1"/>
    <w:link w:val="14"/>
    <w:unhideWhenUsed/>
    <w:uiPriority w:val="99"/>
    <w:pPr>
      <w:jc w:val="left"/>
    </w:pPr>
  </w:style>
  <w:style w:type="paragraph" w:styleId="4">
    <w:name w:val="Body Text"/>
    <w:basedOn w:val="1"/>
    <w:link w:val="15"/>
    <w:uiPriority w:val="0"/>
    <w:rPr>
      <w:rFonts w:ascii="仿宋_GB2312" w:hAnsi="Calibri" w:eastAsia="仿宋_GB2312"/>
      <w:sz w:val="30"/>
    </w:rPr>
  </w:style>
  <w:style w:type="paragraph" w:styleId="5">
    <w:name w:val="Date"/>
    <w:basedOn w:val="1"/>
    <w:next w:val="1"/>
    <w:link w:val="16"/>
    <w:unhideWhenUsed/>
    <w:uiPriority w:val="99"/>
    <w:pPr>
      <w:ind w:left="100" w:leftChars="2500"/>
    </w:pPr>
  </w:style>
  <w:style w:type="paragraph" w:styleId="6">
    <w:name w:val="Balloon Text"/>
    <w:basedOn w:val="1"/>
    <w:link w:val="17"/>
    <w:unhideWhenUsed/>
    <w:uiPriority w:val="99"/>
    <w:rPr>
      <w:sz w:val="18"/>
      <w:szCs w:val="18"/>
    </w:rPr>
  </w:style>
  <w:style w:type="paragraph" w:styleId="7">
    <w:name w:val="footer"/>
    <w:basedOn w:val="1"/>
    <w:link w:val="18"/>
    <w:unhideWhenUsed/>
    <w:uiPriority w:val="99"/>
    <w:pPr>
      <w:tabs>
        <w:tab w:val="center" w:pos="4153"/>
        <w:tab w:val="right" w:pos="8306"/>
      </w:tabs>
      <w:snapToGrid w:val="0"/>
      <w:jc w:val="left"/>
    </w:pPr>
    <w:rPr>
      <w:sz w:val="18"/>
      <w:szCs w:val="18"/>
    </w:rPr>
  </w:style>
  <w:style w:type="paragraph" w:styleId="8">
    <w:name w:val="header"/>
    <w:basedOn w:val="1"/>
    <w:link w:val="19"/>
    <w:unhideWhenUsed/>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3"/>
    <w:next w:val="3"/>
    <w:link w:val="20"/>
    <w:unhideWhenUsed/>
    <w:uiPriority w:val="99"/>
    <w:rPr>
      <w:b/>
      <w:bCs/>
    </w:rPr>
  </w:style>
  <w:style w:type="character" w:styleId="13">
    <w:name w:val="annotation reference"/>
    <w:unhideWhenUsed/>
    <w:uiPriority w:val="99"/>
    <w:rPr>
      <w:sz w:val="21"/>
      <w:szCs w:val="21"/>
    </w:rPr>
  </w:style>
  <w:style w:type="character" w:customStyle="1" w:styleId="14">
    <w:name w:val="批注文字 字符"/>
    <w:link w:val="3"/>
    <w:uiPriority w:val="99"/>
    <w:rPr>
      <w:kern w:val="2"/>
      <w:sz w:val="21"/>
      <w:szCs w:val="24"/>
    </w:rPr>
  </w:style>
  <w:style w:type="character" w:customStyle="1" w:styleId="15">
    <w:name w:val="正文文本 Char"/>
    <w:link w:val="4"/>
    <w:uiPriority w:val="0"/>
    <w:rPr>
      <w:rFonts w:ascii="仿宋_GB2312" w:hAnsi="Calibri" w:eastAsia="仿宋_GB2312"/>
      <w:kern w:val="2"/>
      <w:sz w:val="30"/>
      <w:szCs w:val="24"/>
    </w:rPr>
  </w:style>
  <w:style w:type="character" w:customStyle="1" w:styleId="16">
    <w:name w:val="日期 字符"/>
    <w:link w:val="5"/>
    <w:semiHidden/>
    <w:uiPriority w:val="99"/>
    <w:rPr>
      <w:kern w:val="2"/>
      <w:sz w:val="21"/>
      <w:szCs w:val="24"/>
    </w:rPr>
  </w:style>
  <w:style w:type="character" w:customStyle="1" w:styleId="17">
    <w:name w:val="批注框文本 字符"/>
    <w:link w:val="6"/>
    <w:semiHidden/>
    <w:uiPriority w:val="99"/>
    <w:rPr>
      <w:kern w:val="2"/>
      <w:sz w:val="18"/>
      <w:szCs w:val="18"/>
    </w:rPr>
  </w:style>
  <w:style w:type="character" w:customStyle="1" w:styleId="18">
    <w:name w:val="页脚 字符"/>
    <w:link w:val="7"/>
    <w:uiPriority w:val="99"/>
    <w:rPr>
      <w:kern w:val="2"/>
      <w:sz w:val="18"/>
      <w:szCs w:val="18"/>
    </w:rPr>
  </w:style>
  <w:style w:type="character" w:customStyle="1" w:styleId="19">
    <w:name w:val="页眉 字符"/>
    <w:link w:val="8"/>
    <w:semiHidden/>
    <w:uiPriority w:val="0"/>
    <w:rPr>
      <w:kern w:val="2"/>
      <w:sz w:val="18"/>
      <w:szCs w:val="18"/>
    </w:rPr>
  </w:style>
  <w:style w:type="character" w:customStyle="1" w:styleId="20">
    <w:name w:val="批注主题 字符"/>
    <w:link w:val="10"/>
    <w:semiHidden/>
    <w:uiPriority w:val="99"/>
    <w:rPr>
      <w:b/>
      <w:bCs/>
      <w:kern w:val="2"/>
      <w:sz w:val="21"/>
      <w:szCs w:val="24"/>
    </w:rPr>
  </w:style>
  <w:style w:type="character" w:customStyle="1" w:styleId="21">
    <w:name w:val="apple-converted-space"/>
    <w:uiPriority w:val="0"/>
  </w:style>
  <w:style w:type="character" w:customStyle="1" w:styleId="22">
    <w:name w:val="fontstyle11"/>
    <w:qFormat/>
    <w:uiPriority w:val="0"/>
    <w:rPr>
      <w:rFonts w:hint="eastAsia" w:ascii="方正小标宋" w:eastAsia="方正小标宋"/>
      <w:color w:val="000000"/>
      <w:sz w:val="44"/>
      <w:szCs w:val="44"/>
    </w:rPr>
  </w:style>
  <w:style w:type="character" w:customStyle="1" w:styleId="23">
    <w:name w:val="fontstyle51"/>
    <w:qFormat/>
    <w:uiPriority w:val="0"/>
    <w:rPr>
      <w:rFonts w:hint="eastAsia" w:ascii="黑体" w:eastAsia="黑体"/>
      <w:color w:val="000000"/>
      <w:sz w:val="32"/>
      <w:szCs w:val="32"/>
    </w:rPr>
  </w:style>
  <w:style w:type="character" w:customStyle="1" w:styleId="24">
    <w:name w:val="fontstyle21"/>
    <w:qFormat/>
    <w:uiPriority w:val="0"/>
    <w:rPr>
      <w:rFonts w:hint="eastAsia" w:ascii="仿宋_GB2312" w:eastAsia="仿宋_GB2312"/>
      <w:color w:val="000000"/>
      <w:sz w:val="32"/>
      <w:szCs w:val="32"/>
    </w:rPr>
  </w:style>
  <w:style w:type="paragraph" w:customStyle="1" w:styleId="25">
    <w:name w:val="p0"/>
    <w:basedOn w:val="1"/>
    <w:qFormat/>
    <w:uiPriority w:val="0"/>
    <w:pPr>
      <w:widowControl/>
    </w:pPr>
    <w:rPr>
      <w:rFonts w:eastAsia="仿宋_GB2312"/>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2426</Words>
  <Characters>2474</Characters>
  <Lines>18</Lines>
  <Paragraphs>5</Paragraphs>
  <TotalTime>14</TotalTime>
  <ScaleCrop>false</ScaleCrop>
  <LinksUpToDate>false</LinksUpToDate>
  <CharactersWithSpaces>2548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2023-10-25T01:33:00Z</dcterms:created>
  <dc:creator>Administrator</dc:creator>
  <cp:lastModifiedBy>20170003</cp:lastModifiedBy>
  <cp:lastPrinted>2025-07-10T06:43:00Z</cp:lastPrinted>
  <dcterms:modified xsi:type="dcterms:W3CDTF">2025-07-11T09:06:25Z</dcterms:modified>
  <dc:title>北京青年政治学院合同管理办法</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1CBA2D94BA344FB8B40ACE49BE225992_13</vt:lpwstr>
  </property>
  <property fmtid="{D5CDD505-2E9C-101B-9397-08002B2CF9AE}" pid="4" name="KSOTemplateDocerSaveRecord">
    <vt:lpwstr>eyJoZGlkIjoiYzExMWQ5ZTY0NTU2YmQ5Njc5OTJmYTU1ZDIwMjhmNzgifQ==</vt:lpwstr>
  </property>
</Properties>
</file>