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729DB8">
      <w:pPr>
        <w:jc w:val="distribute"/>
        <w:rPr>
          <w:rFonts w:hint="eastAsia" w:ascii="方正小标宋简体" w:hAnsi="宋体" w:eastAsia="方正小标宋简体"/>
          <w:color w:val="FF0000"/>
          <w:sz w:val="64"/>
          <w:szCs w:val="64"/>
        </w:rPr>
      </w:pPr>
      <w:bookmarkStart w:id="0" w:name="_GoBack"/>
    </w:p>
    <w:p w14:paraId="0E1C43D0">
      <w:pPr>
        <w:jc w:val="center"/>
        <w:rPr>
          <w:rFonts w:ascii="方正小标宋简体" w:eastAsia="方正小标宋简体"/>
          <w:sz w:val="64"/>
          <w:szCs w:val="64"/>
        </w:rPr>
      </w:pPr>
      <w:r>
        <w:rPr>
          <w:rFonts w:hint="eastAsia" w:ascii="方正小标宋简体" w:hAnsi="宋体" w:eastAsia="方正小标宋简体"/>
          <w:color w:val="FF0000"/>
          <w:spacing w:val="60"/>
          <w:kern w:val="0"/>
          <w:sz w:val="64"/>
          <w:szCs w:val="64"/>
        </w:rPr>
        <w:t>北京青年政治学院文</w:t>
      </w:r>
      <w:r>
        <w:rPr>
          <w:rFonts w:hint="eastAsia" w:ascii="方正小标宋简体" w:hAnsi="宋体" w:eastAsia="方正小标宋简体"/>
          <w:color w:val="FF0000"/>
          <w:kern w:val="0"/>
          <w:sz w:val="64"/>
          <w:szCs w:val="64"/>
        </w:rPr>
        <w:t>件</w:t>
      </w:r>
    </w:p>
    <w:p w14:paraId="4E5A4B1F">
      <w:pPr>
        <w:rPr>
          <w:rFonts w:ascii="仿宋_GB2312" w:eastAsia="仿宋_GB2312"/>
          <w:sz w:val="32"/>
          <w:szCs w:val="32"/>
        </w:rPr>
      </w:pPr>
    </w:p>
    <w:p w14:paraId="6BC6FC68">
      <w:pPr>
        <w:rPr>
          <w:rFonts w:ascii="仿宋_GB2312" w:eastAsia="仿宋_GB2312"/>
          <w:sz w:val="32"/>
          <w:szCs w:val="32"/>
        </w:rPr>
      </w:pPr>
    </w:p>
    <w:p w14:paraId="22F4C094">
      <w:pPr>
        <w:jc w:val="center"/>
        <w:rPr>
          <w:rFonts w:ascii="楷体_GB2312" w:eastAsia="楷体_GB2312"/>
          <w:sz w:val="32"/>
          <w:szCs w:val="32"/>
        </w:rPr>
      </w:pPr>
      <w:r>
        <w:rPr>
          <w:rFonts w:hint="eastAsia" w:ascii="仿宋_GB2312" w:eastAsia="仿宋_GB2312"/>
          <w:sz w:val="32"/>
          <w:szCs w:val="32"/>
        </w:rPr>
        <w:t>院发〔202</w:t>
      </w:r>
      <w:r>
        <w:rPr>
          <w:rFonts w:ascii="仿宋_GB2312" w:eastAsia="仿宋_GB2312"/>
          <w:sz w:val="32"/>
          <w:szCs w:val="32"/>
        </w:rPr>
        <w:t>4</w:t>
      </w:r>
      <w:r>
        <w:rPr>
          <w:rFonts w:hint="eastAsia" w:ascii="仿宋_GB2312" w:eastAsia="仿宋_GB2312"/>
          <w:sz w:val="32"/>
          <w:szCs w:val="32"/>
        </w:rPr>
        <w:t>〕</w:t>
      </w:r>
      <w:r>
        <w:rPr>
          <w:rFonts w:ascii="仿宋_GB2312" w:eastAsia="仿宋_GB2312"/>
          <w:sz w:val="32"/>
          <w:szCs w:val="32"/>
        </w:rPr>
        <w:t>29</w:t>
      </w:r>
      <w:r>
        <w:rPr>
          <w:rFonts w:hint="eastAsia" w:ascii="仿宋_GB2312" w:eastAsia="仿宋_GB2312"/>
          <w:sz w:val="32"/>
          <w:szCs w:val="32"/>
        </w:rPr>
        <w:t>号</w:t>
      </w:r>
    </w:p>
    <w:p w14:paraId="040BA3B6">
      <w:pPr>
        <w:spacing w:line="520" w:lineRule="exact"/>
        <w:jc w:val="center"/>
        <w:rPr>
          <w:rFonts w:ascii="方正小标宋简体" w:hAnsi="宋体" w:eastAsia="方正小标宋简体" w:cs="宋体"/>
          <w:bCs/>
          <w:kern w:val="0"/>
          <w:sz w:val="44"/>
          <w:szCs w:val="44"/>
        </w:rPr>
      </w:pPr>
      <w:r>
        <mc:AlternateContent>
          <mc:Choice Requires="wps">
            <w:drawing>
              <wp:anchor distT="0" distB="0" distL="114300" distR="114300" simplePos="0" relativeHeight="251660288" behindDoc="0" locked="0" layoutInCell="1" allowOverlap="1">
                <wp:simplePos x="0" y="0"/>
                <wp:positionH relativeFrom="column">
                  <wp:posOffset>-114300</wp:posOffset>
                </wp:positionH>
                <wp:positionV relativeFrom="paragraph">
                  <wp:posOffset>99060</wp:posOffset>
                </wp:positionV>
                <wp:extent cx="5829300" cy="0"/>
                <wp:effectExtent l="0" t="9525" r="0" b="9525"/>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margin-left:-9pt;margin-top:7.8pt;height:0pt;width:459pt;z-index:251660288;mso-width-relative:page;mso-height-relative:page;" filled="f" stroked="t" coordsize="21600,21600" o:gfxdata="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Lq&#10;b3bXAAAACQEAAA8AAAAAAAAAAQAgAAAAIgAAAGRycy9kb3ducmV2LnhtbFBLAQIUABQAAAAIAIdO&#10;4kAVxpRY6wEAALkDAAAOAAAAAAAAAAEAIAAAACYBAABkcnMvZTJvRG9jLnhtbFBLBQYAAAAABgAG&#10;AFkBAACDBQAAAAA=&#10;">
                <v:fill on="f" focussize="0,0"/>
                <v:stroke weight="1.5pt" color="#FF0000" joinstyle="round"/>
                <v:imagedata o:title=""/>
                <o:lock v:ext="edit" aspectratio="f"/>
              </v:line>
            </w:pict>
          </mc:Fallback>
        </mc:AlternateContent>
      </w:r>
    </w:p>
    <w:p w14:paraId="76DA8936">
      <w:pPr>
        <w:adjustRightInd w:val="0"/>
        <w:snapToGrid w:val="0"/>
        <w:spacing w:line="560" w:lineRule="exact"/>
        <w:jc w:val="center"/>
        <w:rPr>
          <w:rFonts w:hint="eastAsia" w:ascii="方正小标宋简体" w:hAnsi="宋体" w:eastAsia="方正小标宋简体"/>
          <w:bCs/>
          <w:w w:val="96"/>
          <w:sz w:val="44"/>
          <w:szCs w:val="44"/>
        </w:rPr>
      </w:pPr>
    </w:p>
    <w:p w14:paraId="3D9AE2DD">
      <w:pPr>
        <w:adjustRightInd w:val="0"/>
        <w:snapToGrid w:val="0"/>
        <w:spacing w:line="560" w:lineRule="exact"/>
        <w:jc w:val="center"/>
        <w:rPr>
          <w:rFonts w:hint="eastAsia" w:ascii="方正小标宋简体" w:hAnsi="宋体" w:eastAsia="方正小标宋简体"/>
          <w:bCs/>
          <w:w w:val="96"/>
          <w:sz w:val="44"/>
          <w:szCs w:val="44"/>
        </w:rPr>
      </w:pPr>
      <w:r>
        <w:rPr>
          <w:rFonts w:hint="eastAsia" w:ascii="方正小标宋简体" w:hAnsi="宋体" w:eastAsia="方正小标宋简体"/>
          <w:bCs/>
          <w:w w:val="96"/>
          <w:sz w:val="44"/>
          <w:szCs w:val="44"/>
        </w:rPr>
        <w:t>北京青年政治学院关于印发</w:t>
      </w:r>
    </w:p>
    <w:p w14:paraId="1608B223">
      <w:pPr>
        <w:adjustRightInd w:val="0"/>
        <w:snapToGrid w:val="0"/>
        <w:spacing w:line="560" w:lineRule="exact"/>
        <w:jc w:val="center"/>
        <w:rPr>
          <w:rFonts w:hint="eastAsia" w:ascii="方正小标宋简体" w:hAnsi="宋体" w:eastAsia="方正小标宋简体"/>
          <w:bCs/>
          <w:w w:val="96"/>
          <w:sz w:val="44"/>
          <w:szCs w:val="44"/>
        </w:rPr>
      </w:pPr>
      <w:r>
        <w:rPr>
          <w:rFonts w:hint="eastAsia" w:ascii="方正小标宋简体" w:hAnsi="宋体" w:eastAsia="方正小标宋简体"/>
          <w:bCs/>
          <w:w w:val="96"/>
          <w:sz w:val="44"/>
          <w:szCs w:val="44"/>
        </w:rPr>
        <w:t>《北京青年政治学院学生食堂管理办法》的通知</w:t>
      </w:r>
    </w:p>
    <w:p w14:paraId="358C61EE">
      <w:pPr>
        <w:spacing w:line="560" w:lineRule="exact"/>
        <w:ind w:firstLine="640" w:firstLineChars="200"/>
        <w:rPr>
          <w:rFonts w:ascii="仿宋_GB2312" w:hAnsi="Calibri" w:eastAsia="仿宋_GB2312"/>
          <w:sz w:val="32"/>
          <w:szCs w:val="32"/>
        </w:rPr>
      </w:pPr>
    </w:p>
    <w:p w14:paraId="0FC1DC75">
      <w:pPr>
        <w:spacing w:line="560" w:lineRule="exact"/>
        <w:rPr>
          <w:rFonts w:hint="eastAsia" w:ascii="楷体_GB2312" w:hAnsi="宋体" w:eastAsia="楷体_GB2312"/>
          <w:sz w:val="32"/>
          <w:szCs w:val="32"/>
        </w:rPr>
      </w:pPr>
      <w:r>
        <w:rPr>
          <w:rFonts w:hint="eastAsia" w:ascii="楷体_GB2312" w:hAnsi="宋体" w:eastAsia="楷体_GB2312"/>
          <w:sz w:val="32"/>
          <w:szCs w:val="32"/>
        </w:rPr>
        <w:t>各部门（单位）:</w:t>
      </w:r>
    </w:p>
    <w:p w14:paraId="16931A50">
      <w:pPr>
        <w:spacing w:line="560" w:lineRule="exact"/>
        <w:ind w:firstLine="640" w:firstLineChars="200"/>
        <w:rPr>
          <w:rFonts w:hint="eastAsia" w:ascii="楷体_GB2312" w:hAnsi="宋体" w:eastAsia="楷体_GB2312"/>
          <w:sz w:val="32"/>
          <w:szCs w:val="32"/>
        </w:rPr>
      </w:pPr>
      <w:r>
        <w:rPr>
          <w:rFonts w:hint="eastAsia" w:ascii="楷体_GB2312" w:hAnsi="宋体" w:eastAsia="楷体_GB2312"/>
          <w:sz w:val="32"/>
          <w:szCs w:val="32"/>
        </w:rPr>
        <w:t>《北京青年政治学院学生食堂管理办法》经2024年第</w:t>
      </w:r>
      <w:r>
        <w:rPr>
          <w:rFonts w:hint="eastAsia" w:ascii="楷体_GB2312" w:hAnsi="宋体" w:eastAsia="楷体_GB2312"/>
          <w:sz w:val="32"/>
          <w:szCs w:val="32"/>
          <w:lang w:val="en-US" w:eastAsia="zh-CN"/>
        </w:rPr>
        <w:t>32</w:t>
      </w:r>
      <w:r>
        <w:rPr>
          <w:rFonts w:hint="eastAsia" w:ascii="楷体_GB2312" w:hAnsi="宋体" w:eastAsia="楷体_GB2312"/>
          <w:sz w:val="32"/>
          <w:szCs w:val="32"/>
        </w:rPr>
        <w:t>次院长办公会通过，现印发给你们，请认真遵照执行。</w:t>
      </w:r>
    </w:p>
    <w:p w14:paraId="5D278E27">
      <w:pPr>
        <w:spacing w:line="560" w:lineRule="exact"/>
        <w:rPr>
          <w:rFonts w:hint="eastAsia" w:ascii="仿宋_GB2312" w:hAnsi="Calibri" w:eastAsia="仿宋_GB2312"/>
          <w:sz w:val="32"/>
          <w:szCs w:val="32"/>
        </w:rPr>
      </w:pPr>
    </w:p>
    <w:p w14:paraId="57C08295">
      <w:pPr>
        <w:spacing w:line="560" w:lineRule="exact"/>
        <w:ind w:left="3559" w:leftChars="1695" w:firstLine="1920" w:firstLineChars="600"/>
        <w:jc w:val="left"/>
        <w:rPr>
          <w:rFonts w:hint="eastAsia" w:ascii="仿宋_GB2312" w:hAnsi="Calibri" w:eastAsia="仿宋_GB2312"/>
          <w:sz w:val="32"/>
          <w:szCs w:val="32"/>
        </w:rPr>
      </w:pPr>
    </w:p>
    <w:p w14:paraId="6036E3F6">
      <w:pPr>
        <w:spacing w:line="560" w:lineRule="exact"/>
        <w:ind w:left="3559" w:leftChars="1695" w:firstLine="1920" w:firstLineChars="600"/>
        <w:jc w:val="left"/>
        <w:rPr>
          <w:rFonts w:hint="eastAsia" w:ascii="楷体_GB2312" w:hAnsi="宋体" w:eastAsia="楷体_GB2312"/>
          <w:sz w:val="32"/>
          <w:szCs w:val="32"/>
        </w:rPr>
      </w:pPr>
      <w:r>
        <w:rPr>
          <w:rFonts w:hint="eastAsia" w:ascii="楷体_GB2312" w:hAnsi="宋体" w:eastAsia="楷体_GB2312"/>
          <w:sz w:val="32"/>
          <w:szCs w:val="32"/>
        </w:rPr>
        <w:t>北京青年政治学院</w:t>
      </w:r>
    </w:p>
    <w:p w14:paraId="18BC2F51">
      <w:pPr>
        <w:spacing w:line="560" w:lineRule="exact"/>
        <w:ind w:left="3559" w:leftChars="1695" w:firstLine="1920" w:firstLineChars="600"/>
        <w:jc w:val="left"/>
        <w:rPr>
          <w:rFonts w:hint="eastAsia" w:ascii="楷体_GB2312" w:hAnsi="宋体" w:eastAsia="楷体_GB2312"/>
          <w:sz w:val="32"/>
          <w:szCs w:val="32"/>
        </w:rPr>
      </w:pPr>
      <w:r>
        <w:rPr>
          <w:rFonts w:hint="eastAsia" w:ascii="楷体_GB2312" w:hAnsi="宋体" w:eastAsia="楷体_GB2312"/>
          <w:sz w:val="32"/>
          <w:szCs w:val="32"/>
        </w:rPr>
        <w:t>2024年</w:t>
      </w:r>
      <w:r>
        <w:rPr>
          <w:rFonts w:ascii="楷体_GB2312" w:hAnsi="宋体" w:eastAsia="楷体_GB2312"/>
          <w:sz w:val="32"/>
          <w:szCs w:val="32"/>
        </w:rPr>
        <w:t>12</w:t>
      </w:r>
      <w:r>
        <w:rPr>
          <w:rFonts w:hint="eastAsia" w:ascii="楷体_GB2312" w:hAnsi="宋体" w:eastAsia="楷体_GB2312"/>
          <w:sz w:val="32"/>
          <w:szCs w:val="32"/>
        </w:rPr>
        <w:t>月</w:t>
      </w:r>
      <w:r>
        <w:rPr>
          <w:rFonts w:ascii="楷体_GB2312" w:hAnsi="宋体" w:eastAsia="楷体_GB2312"/>
          <w:sz w:val="32"/>
          <w:szCs w:val="32"/>
        </w:rPr>
        <w:t>1</w:t>
      </w:r>
      <w:r>
        <w:rPr>
          <w:rFonts w:hint="eastAsia" w:ascii="楷体_GB2312" w:hAnsi="宋体" w:eastAsia="楷体_GB2312"/>
          <w:sz w:val="32"/>
          <w:szCs w:val="32"/>
          <w:lang w:val="en-US" w:eastAsia="zh-CN"/>
        </w:rPr>
        <w:t>8</w:t>
      </w:r>
      <w:r>
        <w:rPr>
          <w:rFonts w:hint="eastAsia" w:ascii="楷体_GB2312" w:hAnsi="宋体" w:eastAsia="楷体_GB2312"/>
          <w:sz w:val="32"/>
          <w:szCs w:val="32"/>
        </w:rPr>
        <w:t>日</w:t>
      </w:r>
    </w:p>
    <w:p w14:paraId="3109947C">
      <w:pPr>
        <w:pStyle w:val="7"/>
        <w:spacing w:line="560" w:lineRule="exact"/>
        <w:jc w:val="center"/>
        <w:rPr>
          <w:rStyle w:val="11"/>
          <w:rFonts w:hint="eastAsia" w:ascii="方正小标宋简体" w:eastAsia="方正小标宋简体" w:cs="宋体"/>
          <w:b w:val="0"/>
          <w:sz w:val="44"/>
          <w:szCs w:val="44"/>
        </w:rPr>
      </w:pPr>
    </w:p>
    <w:p w14:paraId="6D3C84AE">
      <w:pPr>
        <w:pStyle w:val="7"/>
        <w:spacing w:line="560" w:lineRule="exact"/>
        <w:jc w:val="center"/>
        <w:rPr>
          <w:rStyle w:val="11"/>
          <w:rFonts w:hint="eastAsia" w:ascii="方正小标宋简体" w:eastAsia="方正小标宋简体" w:cs="宋体"/>
          <w:b w:val="0"/>
          <w:sz w:val="44"/>
          <w:szCs w:val="44"/>
        </w:rPr>
      </w:pPr>
    </w:p>
    <w:p w14:paraId="096F7C3E">
      <w:pPr>
        <w:keepNext w:val="0"/>
        <w:keepLines w:val="0"/>
        <w:pageBreakBefore w:val="0"/>
        <w:widowControl/>
        <w:kinsoku/>
        <w:wordWrap/>
        <w:overflowPunct/>
        <w:topLinePunct w:val="0"/>
        <w:autoSpaceDE/>
        <w:autoSpaceDN/>
        <w:bidi w:val="0"/>
        <w:adjustRightInd/>
        <w:snapToGrid/>
        <w:spacing w:beforeAutospacing="0" w:afterAutospacing="0" w:line="560" w:lineRule="exact"/>
        <w:jc w:val="center"/>
        <w:textAlignment w:val="auto"/>
        <w:rPr>
          <w:rFonts w:ascii="方正小标宋简体" w:hAnsi="Calibri" w:eastAsia="方正小标宋简体"/>
          <w:bCs/>
          <w:kern w:val="0"/>
          <w:sz w:val="44"/>
          <w:szCs w:val="44"/>
        </w:rPr>
      </w:pPr>
      <w:r>
        <w:rPr>
          <w:rFonts w:hint="eastAsia" w:ascii="方正小标宋简体" w:hAnsi="宋体" w:eastAsia="方正小标宋简体" w:cs="宋体"/>
          <w:bCs/>
          <w:kern w:val="0"/>
          <w:sz w:val="44"/>
          <w:szCs w:val="44"/>
        </w:rPr>
        <w:t>北京青年政治学院学生食堂管理办法</w:t>
      </w:r>
    </w:p>
    <w:p w14:paraId="3F2E404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Style w:val="11"/>
          <w:rFonts w:ascii="仿宋_GB2312" w:hAnsi="仿宋" w:eastAsia="仿宋_GB2312" w:cs="Arial"/>
          <w:b w:val="0"/>
          <w:color w:val="000000"/>
          <w:sz w:val="32"/>
          <w:szCs w:val="32"/>
        </w:rPr>
      </w:pPr>
      <w:r>
        <w:rPr>
          <w:rStyle w:val="11"/>
          <w:rFonts w:hint="eastAsia" w:ascii="仿宋_GB2312" w:hAnsi="仿宋" w:eastAsia="仿宋_GB2312" w:cs="Arial"/>
          <w:b w:val="0"/>
          <w:color w:val="000000"/>
          <w:sz w:val="32"/>
          <w:szCs w:val="32"/>
        </w:rPr>
        <w:t>（2024年</w:t>
      </w:r>
      <w:r>
        <w:rPr>
          <w:rStyle w:val="11"/>
          <w:rFonts w:ascii="仿宋_GB2312" w:hAnsi="仿宋" w:eastAsia="仿宋_GB2312" w:cs="Arial"/>
          <w:b w:val="0"/>
          <w:color w:val="000000"/>
          <w:sz w:val="32"/>
          <w:szCs w:val="32"/>
        </w:rPr>
        <w:t>12</w:t>
      </w:r>
      <w:r>
        <w:rPr>
          <w:rStyle w:val="11"/>
          <w:rFonts w:hint="eastAsia" w:ascii="仿宋_GB2312" w:hAnsi="仿宋" w:eastAsia="仿宋_GB2312" w:cs="Arial"/>
          <w:b w:val="0"/>
          <w:color w:val="000000"/>
          <w:sz w:val="32"/>
          <w:szCs w:val="32"/>
        </w:rPr>
        <w:t>月</w:t>
      </w:r>
      <w:r>
        <w:rPr>
          <w:rStyle w:val="11"/>
          <w:rFonts w:ascii="仿宋_GB2312" w:hAnsi="仿宋" w:eastAsia="仿宋_GB2312" w:cs="Arial"/>
          <w:b w:val="0"/>
          <w:color w:val="000000"/>
          <w:sz w:val="32"/>
          <w:szCs w:val="32"/>
        </w:rPr>
        <w:t>6</w:t>
      </w:r>
      <w:r>
        <w:rPr>
          <w:rStyle w:val="11"/>
          <w:rFonts w:hint="eastAsia" w:ascii="仿宋_GB2312" w:hAnsi="仿宋" w:eastAsia="仿宋_GB2312" w:cs="Arial"/>
          <w:b w:val="0"/>
          <w:color w:val="000000"/>
          <w:sz w:val="32"/>
          <w:szCs w:val="32"/>
        </w:rPr>
        <w:t>日第</w:t>
      </w:r>
      <w:r>
        <w:rPr>
          <w:rStyle w:val="11"/>
          <w:rFonts w:hint="eastAsia" w:ascii="仿宋_GB2312" w:hAnsi="仿宋" w:eastAsia="仿宋_GB2312" w:cs="Arial"/>
          <w:b w:val="0"/>
          <w:color w:val="000000"/>
          <w:sz w:val="32"/>
          <w:szCs w:val="32"/>
          <w:lang w:val="en-US" w:eastAsia="zh-CN"/>
        </w:rPr>
        <w:t>32</w:t>
      </w:r>
      <w:r>
        <w:rPr>
          <w:rStyle w:val="11"/>
          <w:rFonts w:hint="eastAsia" w:ascii="仿宋_GB2312" w:hAnsi="仿宋" w:eastAsia="仿宋_GB2312" w:cs="Arial"/>
          <w:b w:val="0"/>
          <w:color w:val="000000"/>
          <w:sz w:val="32"/>
          <w:szCs w:val="32"/>
        </w:rPr>
        <w:t xml:space="preserve">次院长办公会会议通过 </w:t>
      </w:r>
    </w:p>
    <w:p w14:paraId="541F360A">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center"/>
        <w:textAlignment w:val="auto"/>
        <w:rPr>
          <w:rStyle w:val="11"/>
          <w:rFonts w:ascii="仿宋_GB2312" w:hAnsi="仿宋" w:eastAsia="仿宋_GB2312" w:cs="Arial"/>
          <w:b w:val="0"/>
          <w:color w:val="000000"/>
          <w:sz w:val="32"/>
          <w:szCs w:val="32"/>
        </w:rPr>
      </w:pPr>
      <w:r>
        <w:rPr>
          <w:rStyle w:val="11"/>
          <w:rFonts w:hint="eastAsia" w:ascii="仿宋_GB2312" w:hAnsi="仿宋" w:eastAsia="仿宋_GB2312" w:cs="Arial"/>
          <w:b w:val="0"/>
          <w:color w:val="000000"/>
          <w:sz w:val="32"/>
          <w:szCs w:val="32"/>
        </w:rPr>
        <w:t>2024年</w:t>
      </w:r>
      <w:r>
        <w:rPr>
          <w:rStyle w:val="11"/>
          <w:rFonts w:ascii="仿宋_GB2312" w:hAnsi="仿宋" w:eastAsia="仿宋_GB2312" w:cs="Arial"/>
          <w:b w:val="0"/>
          <w:color w:val="000000"/>
          <w:sz w:val="32"/>
          <w:szCs w:val="32"/>
        </w:rPr>
        <w:t>12</w:t>
      </w:r>
      <w:r>
        <w:rPr>
          <w:rStyle w:val="11"/>
          <w:rFonts w:hint="eastAsia" w:ascii="仿宋_GB2312" w:hAnsi="仿宋" w:eastAsia="仿宋_GB2312" w:cs="Arial"/>
          <w:b w:val="0"/>
          <w:color w:val="000000"/>
          <w:sz w:val="32"/>
          <w:szCs w:val="32"/>
        </w:rPr>
        <w:t>月</w:t>
      </w:r>
      <w:r>
        <w:rPr>
          <w:rStyle w:val="11"/>
          <w:rFonts w:ascii="仿宋_GB2312" w:hAnsi="仿宋" w:eastAsia="仿宋_GB2312" w:cs="Arial"/>
          <w:b w:val="0"/>
          <w:color w:val="000000"/>
          <w:sz w:val="32"/>
          <w:szCs w:val="32"/>
        </w:rPr>
        <w:t>1</w:t>
      </w:r>
      <w:r>
        <w:rPr>
          <w:rStyle w:val="11"/>
          <w:rFonts w:hint="eastAsia" w:ascii="仿宋_GB2312" w:hAnsi="仿宋" w:eastAsia="仿宋_GB2312" w:cs="Arial"/>
          <w:b w:val="0"/>
          <w:color w:val="000000"/>
          <w:sz w:val="32"/>
          <w:szCs w:val="32"/>
          <w:lang w:val="en-US" w:eastAsia="zh-CN"/>
        </w:rPr>
        <w:t>8</w:t>
      </w:r>
      <w:r>
        <w:rPr>
          <w:rStyle w:val="11"/>
          <w:rFonts w:hint="eastAsia" w:ascii="仿宋_GB2312" w:hAnsi="仿宋" w:eastAsia="仿宋_GB2312" w:cs="Arial"/>
          <w:b w:val="0"/>
          <w:color w:val="000000"/>
          <w:sz w:val="32"/>
          <w:szCs w:val="32"/>
        </w:rPr>
        <w:t>日发布）</w:t>
      </w:r>
    </w:p>
    <w:p w14:paraId="60514E09">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ascii="黑体" w:hAnsi="宋体" w:eastAsia="黑体" w:cs="黑体"/>
          <w:sz w:val="32"/>
          <w:szCs w:val="32"/>
          <w:lang w:bidi="ar"/>
        </w:rPr>
      </w:pPr>
      <w:r>
        <w:rPr>
          <w:rFonts w:hint="eastAsia" w:ascii="黑体" w:hAnsi="宋体" w:eastAsia="黑体" w:cs="黑体"/>
          <w:sz w:val="32"/>
          <w:szCs w:val="32"/>
          <w:lang w:bidi="ar"/>
        </w:rPr>
        <w:t xml:space="preserve">第一章 </w:t>
      </w:r>
      <w:r>
        <w:rPr>
          <w:rFonts w:hint="eastAsia" w:ascii="黑体" w:hAnsi="宋体" w:eastAsia="黑体" w:cs="黑体"/>
          <w:sz w:val="32"/>
          <w:szCs w:val="32"/>
          <w:lang w:val="en-US" w:eastAsia="zh-CN" w:bidi="ar"/>
        </w:rPr>
        <w:t xml:space="preserve"> </w:t>
      </w:r>
      <w:r>
        <w:rPr>
          <w:rFonts w:hint="eastAsia" w:ascii="黑体" w:hAnsi="宋体" w:eastAsia="黑体" w:cs="黑体"/>
          <w:sz w:val="32"/>
          <w:szCs w:val="32"/>
          <w:lang w:bidi="ar"/>
        </w:rPr>
        <w:t>总则</w:t>
      </w:r>
    </w:p>
    <w:p w14:paraId="35480245">
      <w:pPr>
        <w:keepNext w:val="0"/>
        <w:keepLines w:val="0"/>
        <w:pageBreakBefore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eastAsia="仿宋_GB2312"/>
          <w:sz w:val="32"/>
          <w:szCs w:val="32"/>
        </w:rPr>
      </w:pPr>
      <w:r>
        <w:rPr>
          <w:rFonts w:ascii="黑体" w:hAnsi="黑体" w:eastAsia="黑体"/>
          <w:sz w:val="32"/>
          <w:szCs w:val="32"/>
        </w:rPr>
        <w:t>第一条</w:t>
      </w:r>
      <w:r>
        <w:rPr>
          <w:rFonts w:hint="eastAsia" w:ascii="仿宋_GB2312" w:eastAsia="仿宋_GB2312"/>
          <w:sz w:val="32"/>
          <w:szCs w:val="32"/>
        </w:rPr>
        <w:t xml:space="preserve"> 为贯彻落实北京市教育委员会印发的《北京高等学校学生食堂管理办法（试行）》（京教勤﹝2021﹞10号）文件精神，不断增强学校后勤保障能力，进一步强化学生食堂管理，落实食品安全主体责任，完善考核评价机制，充分保障学生就餐需求，全面提升食堂伙食质量和服务管理水平，结合学院工作实际，制定本办法。</w:t>
      </w:r>
    </w:p>
    <w:p w14:paraId="75CCB333">
      <w:pPr>
        <w:spacing w:line="560" w:lineRule="exact"/>
        <w:jc w:val="center"/>
        <w:rPr>
          <w:rFonts w:hint="eastAsia" w:ascii="黑体" w:hAnsi="宋体" w:eastAsia="黑体" w:cs="黑体"/>
          <w:sz w:val="32"/>
          <w:szCs w:val="32"/>
          <w:lang w:bidi="ar"/>
        </w:rPr>
      </w:pPr>
      <w:r>
        <w:rPr>
          <w:rFonts w:hint="eastAsia" w:ascii="黑体" w:hAnsi="宋体" w:eastAsia="黑体" w:cs="黑体"/>
          <w:sz w:val="32"/>
          <w:szCs w:val="32"/>
          <w:lang w:bidi="ar"/>
        </w:rPr>
        <w:t>第二章  组织管理</w:t>
      </w:r>
    </w:p>
    <w:p w14:paraId="6FE2BC97">
      <w:pPr>
        <w:spacing w:line="560" w:lineRule="exact"/>
        <w:ind w:firstLine="640" w:firstLineChars="200"/>
        <w:rPr>
          <w:rFonts w:hint="eastAsia" w:ascii="仿宋_GB2312" w:eastAsia="仿宋_GB2312"/>
          <w:sz w:val="32"/>
          <w:szCs w:val="32"/>
        </w:rPr>
      </w:pPr>
      <w:r>
        <w:rPr>
          <w:rFonts w:hint="eastAsia" w:ascii="黑体" w:hAnsi="宋体" w:eastAsia="黑体" w:cs="黑体"/>
          <w:sz w:val="32"/>
          <w:szCs w:val="32"/>
          <w:lang w:bidi="ar"/>
        </w:rPr>
        <w:t>第二条</w:t>
      </w:r>
      <w:r>
        <w:rPr>
          <w:rFonts w:hint="eastAsia" w:ascii="仿宋_GB2312" w:eastAsia="仿宋_GB2312"/>
          <w:sz w:val="32"/>
          <w:szCs w:val="32"/>
        </w:rPr>
        <w:t xml:space="preserve"> 成立北京青年政治学院学生食堂管理委员会，负责全面统筹学生食堂工作的监督管理。学生食堂管理委员会主任由主管后勤工作的院领导担任，成员由安全与后勤保障处（含校医务室）、学生工作处、财务处、审计处、人事处、资产管理处、宣传部、信息化处、团委等部门负责人以及教职工代表、学生代表组成。学生食堂管理委员会办公室设在安全与后勤保障处，办公室主任由安全与后勤保障处长担任。</w:t>
      </w:r>
    </w:p>
    <w:p w14:paraId="2DACC336">
      <w:pPr>
        <w:spacing w:line="560" w:lineRule="exact"/>
        <w:ind w:firstLine="640" w:firstLineChars="200"/>
        <w:rPr>
          <w:rFonts w:hint="eastAsia" w:ascii="仿宋_GB2312" w:eastAsia="仿宋_GB2312"/>
          <w:sz w:val="32"/>
          <w:szCs w:val="32"/>
        </w:rPr>
      </w:pPr>
      <w:r>
        <w:rPr>
          <w:rFonts w:hint="eastAsia" w:ascii="黑体" w:hAnsi="宋体" w:eastAsia="黑体" w:cs="黑体"/>
          <w:sz w:val="32"/>
          <w:szCs w:val="32"/>
          <w:lang w:bidi="ar"/>
        </w:rPr>
        <w:t>第三条</w:t>
      </w:r>
      <w:r>
        <w:rPr>
          <w:rFonts w:hint="eastAsia" w:ascii="仿宋_GB2312" w:eastAsia="仿宋_GB2312"/>
          <w:sz w:val="32"/>
          <w:szCs w:val="32"/>
        </w:rPr>
        <w:t xml:space="preserve"> 安全与后勤保障处设立餐饮服务科，在学生食堂管理委员会的领导与监督下，负责全体师生的餐饮服务保障及食堂运行的监管工作。</w:t>
      </w:r>
    </w:p>
    <w:p w14:paraId="6226A499">
      <w:pPr>
        <w:spacing w:line="560" w:lineRule="exact"/>
        <w:jc w:val="center"/>
        <w:rPr>
          <w:rFonts w:hint="eastAsia" w:ascii="黑体" w:hAnsi="黑体" w:eastAsia="黑体"/>
          <w:sz w:val="32"/>
          <w:szCs w:val="32"/>
        </w:rPr>
      </w:pPr>
      <w:r>
        <w:rPr>
          <w:rFonts w:hint="eastAsia" w:ascii="黑体" w:hAnsi="黑体" w:eastAsia="黑体"/>
          <w:sz w:val="32"/>
          <w:szCs w:val="32"/>
        </w:rPr>
        <w:t>第三章  机构职责</w:t>
      </w:r>
    </w:p>
    <w:p w14:paraId="73E91B21">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第四条</w:t>
      </w:r>
      <w:r>
        <w:rPr>
          <w:rFonts w:hint="eastAsia" w:ascii="仿宋_GB2312" w:eastAsia="仿宋_GB2312"/>
          <w:sz w:val="32"/>
          <w:szCs w:val="32"/>
        </w:rPr>
        <w:t xml:space="preserve"> 学生食堂管理委员会统筹学生食堂监督管理工作，建立科学规范的第三方餐饮企业经营的准入、监管和退出机制，结合上级文件精神及学校发展的实际需要，制定学生食堂管理相关工作制度。畅通学校和学生的沟通渠道，定期召开师生座谈会，了解师生对食堂工作的意见和建议，深入细致的做好学生思想教育工作，增进师生对食堂工作的理解和支持，每学期开展一次师生对食堂工作的满意度测评。 </w:t>
      </w:r>
    </w:p>
    <w:p w14:paraId="125D20EE">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第五条 </w:t>
      </w:r>
      <w:r>
        <w:rPr>
          <w:rFonts w:hint="eastAsia" w:ascii="仿宋_GB2312" w:eastAsia="仿宋_GB2312"/>
          <w:sz w:val="32"/>
          <w:szCs w:val="32"/>
        </w:rPr>
        <w:t>学生食堂管理委员会每学期向院长办公会汇报学生食堂相关工作情况，加强对校园食品安全工作的指导、管理和监督。</w:t>
      </w:r>
    </w:p>
    <w:p w14:paraId="26E3A505">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第六条</w:t>
      </w:r>
      <w:r>
        <w:rPr>
          <w:rFonts w:hint="eastAsia" w:ascii="仿宋_GB2312" w:eastAsia="仿宋_GB2312"/>
          <w:sz w:val="32"/>
          <w:szCs w:val="32"/>
        </w:rPr>
        <w:t xml:space="preserve"> 安全与后勤保障处（学生食堂管理委员会办公室）负责严格落实承包学生食堂的第三方餐饮企业的招标和监管工作，建立健全学生食堂监管和食品安全工作的各项规章制度，对学生食堂的日常管理及食品安全进行全方位、全流程的监督管理，定期向学生食堂管理委员会汇报食堂各项工作的开展情况和学生食堂“平抑资金”使用的管理工作，畅通师生反映食堂问题的渠道，收集整理师生反映食堂问题的意见和建议，并及时整改落实，校医务室负责加强对食堂食品安全、环境卫生等进行指导和检查。</w:t>
      </w:r>
    </w:p>
    <w:p w14:paraId="1D6AA14D">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第七条</w:t>
      </w:r>
      <w:r>
        <w:rPr>
          <w:rFonts w:hint="eastAsia" w:ascii="仿宋_GB2312" w:eastAsia="仿宋_GB2312"/>
          <w:sz w:val="32"/>
          <w:szCs w:val="32"/>
        </w:rPr>
        <w:t xml:space="preserve"> 学生工作处负责做好学生思想教育工作，增进学生对食堂工作的理解和支持。</w:t>
      </w:r>
    </w:p>
    <w:p w14:paraId="528C58B5">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第八条</w:t>
      </w:r>
      <w:r>
        <w:rPr>
          <w:rFonts w:hint="eastAsia" w:ascii="仿宋_GB2312" w:eastAsia="仿宋_GB2312"/>
          <w:sz w:val="32"/>
          <w:szCs w:val="32"/>
        </w:rPr>
        <w:t xml:space="preserve"> 财务处负责根据市教委核拨“平抑资金”额度，学校1:1配套计提和学生食堂“平抑资金”的发放工作。</w:t>
      </w:r>
    </w:p>
    <w:p w14:paraId="2283C82E">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第九条</w:t>
      </w:r>
      <w:r>
        <w:rPr>
          <w:rFonts w:hint="eastAsia" w:ascii="仿宋_GB2312" w:eastAsia="仿宋_GB2312"/>
          <w:sz w:val="32"/>
          <w:szCs w:val="32"/>
        </w:rPr>
        <w:t xml:space="preserve"> 审计处负责对学生食堂“平抑资金”的核算、执行进行监督。</w:t>
      </w:r>
    </w:p>
    <w:p w14:paraId="3B15102D">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第十条</w:t>
      </w:r>
      <w:r>
        <w:rPr>
          <w:rFonts w:hint="eastAsia" w:ascii="仿宋_GB2312" w:eastAsia="仿宋_GB2312"/>
          <w:sz w:val="32"/>
          <w:szCs w:val="32"/>
        </w:rPr>
        <w:t xml:space="preserve"> 人事处负责收集教职员工对食堂工作的意见、建议并向安全与后勤保障处及时反映，协调解决教职员工和食堂之间的矛盾、纠纷，维护教职工的合法权益。</w:t>
      </w:r>
    </w:p>
    <w:p w14:paraId="726BC637">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第十一条</w:t>
      </w:r>
      <w:r>
        <w:rPr>
          <w:rFonts w:hint="eastAsia" w:ascii="仿宋_GB2312" w:eastAsia="仿宋_GB2312"/>
          <w:sz w:val="32"/>
          <w:szCs w:val="32"/>
        </w:rPr>
        <w:t xml:space="preserve"> 资产管理处负责食堂炊事设施设备等固定资产的采购和资产使用保管情况的监督检查。</w:t>
      </w:r>
    </w:p>
    <w:p w14:paraId="7F702429">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第十二条</w:t>
      </w:r>
      <w:r>
        <w:rPr>
          <w:rFonts w:hint="eastAsia" w:ascii="仿宋_GB2312" w:eastAsia="仿宋_GB2312"/>
          <w:sz w:val="32"/>
          <w:szCs w:val="32"/>
        </w:rPr>
        <w:t xml:space="preserve"> 宣传部负责开展节粮宣传工作，倡导低碳生活和光盘行动，营造学院厉行节约、拒绝餐饮浪费的氛围。</w:t>
      </w:r>
    </w:p>
    <w:p w14:paraId="68C88669">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第十三条</w:t>
      </w:r>
      <w:r>
        <w:rPr>
          <w:rFonts w:hint="eastAsia" w:ascii="仿宋_GB2312" w:eastAsia="仿宋_GB2312"/>
          <w:sz w:val="32"/>
          <w:szCs w:val="32"/>
        </w:rPr>
        <w:t xml:space="preserve"> 信息化处负责对学生食堂收款卡机正常使用的维护和对学生食堂智能化建设的指导支持。</w:t>
      </w:r>
    </w:p>
    <w:p w14:paraId="017D3F22">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第十四条 </w:t>
      </w:r>
      <w:r>
        <w:rPr>
          <w:rFonts w:hint="eastAsia" w:ascii="仿宋_GB2312" w:eastAsia="仿宋_GB2312"/>
          <w:sz w:val="32"/>
          <w:szCs w:val="32"/>
        </w:rPr>
        <w:t>团委负责成立学生伙食委员会，发挥学生伙委会的监督职能，组织学生代表开展座谈会，收集整理学生对食堂工作的意见和建议并到食堂现场进行监督检查，协调解决学生和食堂之间的矛盾、纠纷，维护学生的合法权益。</w:t>
      </w:r>
    </w:p>
    <w:p w14:paraId="589AD3F4">
      <w:pPr>
        <w:spacing w:line="560" w:lineRule="exact"/>
        <w:ind w:firstLine="640" w:firstLineChars="200"/>
        <w:rPr>
          <w:rFonts w:ascii="仿宋_GB2312" w:eastAsia="仿宋_GB2312"/>
          <w:sz w:val="32"/>
          <w:szCs w:val="32"/>
        </w:rPr>
      </w:pPr>
      <w:r>
        <w:rPr>
          <w:rFonts w:hint="eastAsia" w:ascii="黑体" w:hAnsi="黑体" w:eastAsia="黑体"/>
          <w:sz w:val="32"/>
          <w:szCs w:val="32"/>
        </w:rPr>
        <w:t xml:space="preserve">第十五条 </w:t>
      </w:r>
      <w:r>
        <w:rPr>
          <w:rFonts w:hint="eastAsia" w:ascii="仿宋_GB2312" w:eastAsia="仿宋_GB2312"/>
          <w:sz w:val="32"/>
          <w:szCs w:val="32"/>
        </w:rPr>
        <w:t>学生、教职工代表负责定期参加学生食堂管理委员会例会，收集师生对食堂的意见和建议，并及时向安全与后勤保障处反馈，协助食堂开展师生就餐督查工作，对不文明就餐、浪费粮食等行为进行劝导，定期检查学生食堂的制度执行情况。</w:t>
      </w:r>
    </w:p>
    <w:p w14:paraId="44B016B2">
      <w:pPr>
        <w:spacing w:line="560" w:lineRule="exact"/>
        <w:jc w:val="center"/>
        <w:rPr>
          <w:rFonts w:hint="eastAsia" w:ascii="黑体" w:hAnsi="黑体" w:eastAsia="黑体"/>
          <w:sz w:val="32"/>
          <w:szCs w:val="32"/>
        </w:rPr>
      </w:pPr>
      <w:r>
        <w:rPr>
          <w:rFonts w:hint="eastAsia" w:ascii="黑体" w:hAnsi="黑体" w:eastAsia="黑体"/>
          <w:sz w:val="32"/>
          <w:szCs w:val="32"/>
        </w:rPr>
        <w:t>第四章  基本要求</w:t>
      </w:r>
    </w:p>
    <w:p w14:paraId="775E1B72">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第十六条 </w:t>
      </w:r>
      <w:r>
        <w:rPr>
          <w:rFonts w:hint="eastAsia" w:ascii="仿宋_GB2312" w:eastAsia="仿宋_GB2312"/>
          <w:sz w:val="32"/>
          <w:szCs w:val="32"/>
        </w:rPr>
        <w:t>建立健全各项管理制度，重点加强原料采购与储存、食品加工与制作、设施设备清洁消毒与维修保养、食品存放与留样、从业人员健康、加工经营场所环境卫生、食堂安全保卫、财务、各项突发事件应急处置、投诉处理、日常检查等方面的规范化管理。严格遵守《中华人民共和国食品安全法》等有关法律法规，层层压实责任，保障食品安全，促进营养健康。</w:t>
      </w:r>
    </w:p>
    <w:p w14:paraId="30F76A86">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第十七条 </w:t>
      </w:r>
      <w:r>
        <w:rPr>
          <w:rFonts w:hint="eastAsia" w:ascii="仿宋_GB2312" w:eastAsia="仿宋_GB2312"/>
          <w:sz w:val="32"/>
          <w:szCs w:val="32"/>
        </w:rPr>
        <w:t>明确设置消防安全和应急疏散指示标识，消防设施设备器材配置齐全并保持完好有效、运行正常，做好日常消防安全隐患排查并做好记录。严格落实消防安全法律法规，加强隐患排查，确保用火、用电、用气、用油等的安全；建立健全食堂消防安全突发事件应急预案，定期组织开展应急演练，提高应急处置能力。</w:t>
      </w:r>
    </w:p>
    <w:p w14:paraId="277AD971">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第十八条 </w:t>
      </w:r>
      <w:r>
        <w:rPr>
          <w:rFonts w:hint="eastAsia" w:ascii="仿宋_GB2312" w:eastAsia="仿宋_GB2312"/>
          <w:sz w:val="32"/>
          <w:szCs w:val="32"/>
        </w:rPr>
        <w:t>加强对食堂食品原材料采购的监管工作，持续推进原材料规范公开招标、阳光采购。食堂原材料储备足量；确保原材料安全稳定供应。食品原材料要符合卫生、安全、质量等相关要求，严格落实食品原材料索证索票制度。</w:t>
      </w:r>
    </w:p>
    <w:p w14:paraId="06503A90">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第十九条 </w:t>
      </w:r>
      <w:r>
        <w:rPr>
          <w:rFonts w:hint="eastAsia" w:ascii="仿宋_GB2312" w:eastAsia="仿宋_GB2312"/>
          <w:sz w:val="32"/>
          <w:szCs w:val="32"/>
        </w:rPr>
        <w:t>学生食堂严格按照食品经营许可证载明的经营项目经营，不得无证经营，不得超出有效期限和许可范围经营，不得伪造、涂改、出借食品经营许可证。</w:t>
      </w:r>
    </w:p>
    <w:p w14:paraId="175170E4">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第二十条 </w:t>
      </w:r>
      <w:r>
        <w:rPr>
          <w:rFonts w:hint="eastAsia" w:ascii="仿宋_GB2312" w:eastAsia="仿宋_GB2312"/>
          <w:sz w:val="32"/>
          <w:szCs w:val="32"/>
        </w:rPr>
        <w:t>按照上级要求加强对经营性食堂规范管理的监管，引入社会力量承包或委托经营时要以公开遴选、招投标方式公开选择，加强其经营能力、管理水平、技术水平、企业资质、社会信誉、服务承诺、服务质量、人员素质和健康状况以及抵抗市场风险能力等资质审定并严禁分包转包。</w:t>
      </w:r>
    </w:p>
    <w:p w14:paraId="169C35CC">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第二十一条 </w:t>
      </w:r>
      <w:r>
        <w:rPr>
          <w:rFonts w:hint="eastAsia" w:ascii="仿宋_GB2312" w:eastAsia="仿宋_GB2312"/>
          <w:sz w:val="32"/>
          <w:szCs w:val="32"/>
        </w:rPr>
        <w:t>学生食堂要与承包方依法签订合同，明确双方在食堂管理服务、稳控饭菜质量和价格以及食品安全的权利与义务，督促其落实各项管理制度以及上级稳控饭菜质量和价格的相关要求。履行食品安全与营养健康管理责任。承包方应当依照法律法规、规章制度、安全标准以及合同约定进行经营对饭菜质量和价格稳定以及食品安全负责，并接受学校监督管理。</w:t>
      </w:r>
    </w:p>
    <w:p w14:paraId="6AA0075A">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第二十二条 </w:t>
      </w:r>
      <w:r>
        <w:rPr>
          <w:rFonts w:hint="eastAsia" w:ascii="仿宋_GB2312" w:eastAsia="仿宋_GB2312"/>
          <w:sz w:val="32"/>
          <w:szCs w:val="32"/>
        </w:rPr>
        <w:t>加强对学生食堂饭菜质量和价格的监管，严格执行成本核算和实行明码标价等有关规定，确保饭菜质量和价格稳定，并低于市场同类同质同量餐饮的价格。</w:t>
      </w:r>
    </w:p>
    <w:p w14:paraId="68466B7E">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第二十三条</w:t>
      </w:r>
      <w:r>
        <w:rPr>
          <w:rFonts w:hint="eastAsia" w:ascii="仿宋_GB2312" w:eastAsia="仿宋_GB2312"/>
          <w:sz w:val="32"/>
          <w:szCs w:val="32"/>
        </w:rPr>
        <w:t xml:space="preserve"> 加强清真食堂（清真窗口）的管理，切实按照有关政策文件要求，办好清真食堂（清真窗口）。</w:t>
      </w:r>
    </w:p>
    <w:p w14:paraId="2FF530A9">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第二十四条</w:t>
      </w:r>
      <w:r>
        <w:rPr>
          <w:rFonts w:hint="eastAsia" w:ascii="仿宋_GB2312" w:eastAsia="仿宋_GB2312"/>
          <w:sz w:val="32"/>
          <w:szCs w:val="32"/>
        </w:rPr>
        <w:t xml:space="preserve"> 加强食堂信息化建设，积极运用信息技术手段，加强对食品来源、采购、加工制作全过程的监管，优先在食堂食品库房、烹饪间、备餐间、留样间、洗消间等重点场所实现视频监控全覆盖，及时发现食品安全隐患；</w:t>
      </w:r>
    </w:p>
    <w:p w14:paraId="59A954D8">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第二十五条</w:t>
      </w:r>
      <w:r>
        <w:rPr>
          <w:rFonts w:hint="eastAsia" w:ascii="仿宋_GB2312" w:eastAsia="仿宋_GB2312"/>
          <w:sz w:val="32"/>
          <w:szCs w:val="32"/>
        </w:rPr>
        <w:t xml:space="preserve"> 全面落实国家和本市节能环保相关要求，推广应用高校节能灶具和节能节水餐饮设施设备，保证油烟排放达标，积极开展节水、节电、节粮宣传。</w:t>
      </w:r>
    </w:p>
    <w:p w14:paraId="58DFD458">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第二十六条 </w:t>
      </w:r>
      <w:r>
        <w:rPr>
          <w:rFonts w:hint="eastAsia" w:ascii="仿宋_GB2312" w:eastAsia="仿宋_GB2312"/>
          <w:sz w:val="32"/>
          <w:szCs w:val="32"/>
        </w:rPr>
        <w:t>建立垃圾分类管理制度，加强厨余垃圾源头减量管理，推进厨余垃圾资源化、无害化利用，按照相关规定减少不可降解一次性塑料餐具、餐盒的使用，宣传引导就餐师生践行垃圾分类。</w:t>
      </w:r>
    </w:p>
    <w:p w14:paraId="78E1BA87">
      <w:pPr>
        <w:spacing w:line="560" w:lineRule="exact"/>
        <w:jc w:val="center"/>
        <w:rPr>
          <w:rFonts w:hint="eastAsia" w:ascii="黑体" w:hAnsi="黑体" w:eastAsia="黑体"/>
          <w:sz w:val="32"/>
          <w:szCs w:val="32"/>
        </w:rPr>
      </w:pPr>
      <w:r>
        <w:rPr>
          <w:rFonts w:hint="eastAsia" w:ascii="黑体" w:hAnsi="黑体" w:eastAsia="黑体"/>
          <w:sz w:val="32"/>
          <w:szCs w:val="32"/>
        </w:rPr>
        <w:t>第五章</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食品安全与营养健康</w:t>
      </w:r>
    </w:p>
    <w:p w14:paraId="22B85094">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第二十七条 </w:t>
      </w:r>
      <w:r>
        <w:rPr>
          <w:rFonts w:hint="eastAsia" w:ascii="仿宋_GB2312" w:eastAsia="仿宋_GB2312"/>
          <w:sz w:val="32"/>
          <w:szCs w:val="32"/>
        </w:rPr>
        <w:t>食品安全严格实行校长负责制，食品安全应作为学院安全工作的重要内容，建立健全并严格落实食品安全管理制度和工作要求。</w:t>
      </w:r>
    </w:p>
    <w:p w14:paraId="7A4E6988">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第二十八条 </w:t>
      </w:r>
      <w:r>
        <w:rPr>
          <w:rFonts w:hint="eastAsia" w:ascii="仿宋_GB2312" w:eastAsia="仿宋_GB2312"/>
          <w:sz w:val="32"/>
          <w:szCs w:val="32"/>
        </w:rPr>
        <w:t>加强食品安全与营养健康的宣传教育，利用全国食品安全宣传周等重要时间节点，开展食品安全相关科学知识普及和宣传教育活动。</w:t>
      </w:r>
    </w:p>
    <w:p w14:paraId="3CAA1E1E">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第二十九条</w:t>
      </w:r>
      <w:r>
        <w:rPr>
          <w:rFonts w:hint="eastAsia" w:ascii="仿宋_GB2312" w:eastAsia="仿宋_GB2312"/>
          <w:sz w:val="32"/>
          <w:szCs w:val="32"/>
        </w:rPr>
        <w:t xml:space="preserve"> 围绕采购、贮存、加工、配送、供餐等关键环节，建立健全学校食品安全风险防控体系，保障食品安全、促进营养健康。</w:t>
      </w:r>
    </w:p>
    <w:p w14:paraId="6793D413">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第三十条 </w:t>
      </w:r>
      <w:r>
        <w:rPr>
          <w:rFonts w:hint="eastAsia" w:ascii="仿宋_GB2312" w:eastAsia="仿宋_GB2312"/>
          <w:sz w:val="32"/>
          <w:szCs w:val="32"/>
        </w:rPr>
        <w:t>建立并严格落实食品安全管理岗位责任制，明确食品安全和营养健康管理相关责任，逐级签订食品安全责任书。配备专兼职食品安全与健康管理人员，负责贯彻执行食品安全法律法规以及食品安全日常管理工作和作业环节的食品安全工作和卫生质量。按照有关要求开展法律法规、规章、制度和其他相关知识培训。</w:t>
      </w:r>
    </w:p>
    <w:p w14:paraId="34F23750">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第三十一条</w:t>
      </w:r>
      <w:r>
        <w:rPr>
          <w:rFonts w:hint="eastAsia" w:ascii="仿宋_GB2312" w:eastAsia="仿宋_GB2312"/>
          <w:sz w:val="32"/>
          <w:szCs w:val="32"/>
        </w:rPr>
        <w:t xml:space="preserve"> 建立健全并严格落实原材料采购供应、食品加工制作、备餐销售、包装储存、从业人员健康、设施设备清洗消毒及维修保养、餐饮具清洗消毒与保洁、餐厨废弃物处置、冷链食品管理、食品添加剂使用管理、食品留样管理、环境卫生以及自检与报告等食品安全管理制度。</w:t>
      </w:r>
    </w:p>
    <w:p w14:paraId="5080FB89">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第三十二条 </w:t>
      </w:r>
      <w:r>
        <w:rPr>
          <w:rFonts w:hint="eastAsia" w:ascii="仿宋_GB2312" w:eastAsia="仿宋_GB2312"/>
          <w:sz w:val="32"/>
          <w:szCs w:val="32"/>
        </w:rPr>
        <w:t>严格落实北京市市场监督管理部门关于餐饮服务食品安全量化分级管理和“阳光餐饮”工程建设的规定要求。</w:t>
      </w:r>
    </w:p>
    <w:p w14:paraId="3E60877D">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第三十三条 </w:t>
      </w:r>
      <w:r>
        <w:rPr>
          <w:rFonts w:hint="eastAsia" w:ascii="仿宋_GB2312" w:eastAsia="仿宋_GB2312"/>
          <w:sz w:val="32"/>
          <w:szCs w:val="32"/>
        </w:rPr>
        <w:t>主动在食堂显著位置公示食品经营许可资质、餐饮服务食品安全量化分级等级、从业人员健康证明、主要食品原辅料价格与采购来源、食品添加剂使用和其他应公开的信息。</w:t>
      </w:r>
    </w:p>
    <w:p w14:paraId="545D189F">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第三十四条</w:t>
      </w:r>
      <w:r>
        <w:rPr>
          <w:rFonts w:hint="eastAsia" w:ascii="仿宋_GB2312" w:eastAsia="仿宋_GB2312"/>
          <w:sz w:val="32"/>
          <w:szCs w:val="32"/>
        </w:rPr>
        <w:t xml:space="preserve"> 充分发挥“阳光餐饮”工程的作用，通过透明玻璃隔断墙、隔断窗或安装图像采集和视频传输设备等方式，公开食品加工操作过程，实现食品加工可视化。</w:t>
      </w:r>
    </w:p>
    <w:p w14:paraId="1FF85A95">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第三十五条</w:t>
      </w:r>
      <w:r>
        <w:rPr>
          <w:rFonts w:hint="eastAsia" w:ascii="仿宋_GB2312" w:eastAsia="仿宋_GB2312"/>
          <w:sz w:val="32"/>
          <w:szCs w:val="32"/>
        </w:rPr>
        <w:t xml:space="preserve"> 严格按照食品安全相关法律法规，全面加强学生食堂监督管理，定期开展食品安全隐患排查整治，及时消除食品安全风险隐患；畅通食品安全投诉渠道，充分听取学生、教职员工在食品原材料采购、学生食堂管理等方面的意见、建议，保障师生员工的知情权和监督权。</w:t>
      </w:r>
    </w:p>
    <w:p w14:paraId="7CBE175F">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第三十六条</w:t>
      </w:r>
      <w:r>
        <w:rPr>
          <w:rFonts w:hint="eastAsia" w:ascii="仿宋_GB2312" w:eastAsia="仿宋_GB2312"/>
          <w:sz w:val="32"/>
          <w:szCs w:val="32"/>
        </w:rPr>
        <w:t xml:space="preserve"> 食堂加工场所要按原料、半成品的顺序进行流程布局，生熟食品存放场所无交叉污染；制售冷食类食品、生食类食品、现榨果蔬汁等，应当按照有关要求设置专间或者专用操作区，并由专人加工操作。食堂主、副食品仓库应具有完好的防鼠、防蝇、防虫、防尘、防腐、防潮、防盗、防投毒和通风设施，不得存放有毒、有害物品。按要求加强冷链食品管控。</w:t>
      </w:r>
    </w:p>
    <w:p w14:paraId="3E3F1B66">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第三十七条</w:t>
      </w:r>
      <w:r>
        <w:rPr>
          <w:rFonts w:hint="eastAsia" w:ascii="仿宋_GB2312" w:eastAsia="仿宋_GB2312"/>
          <w:sz w:val="32"/>
          <w:szCs w:val="32"/>
        </w:rPr>
        <w:t xml:space="preserve"> 建立安全保卫相关制度，在醒目位置张贴安全保卫警示牌，非食堂从业人员未经允许不得进入食堂操作间及食品处理区。</w:t>
      </w:r>
    </w:p>
    <w:p w14:paraId="33199DE0">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第三十八条</w:t>
      </w:r>
      <w:r>
        <w:rPr>
          <w:rFonts w:hint="eastAsia" w:ascii="仿宋_GB2312" w:eastAsia="仿宋_GB2312"/>
          <w:sz w:val="32"/>
          <w:szCs w:val="32"/>
        </w:rPr>
        <w:t xml:space="preserve"> 严格落实食品留样制度，配备专用的密闭食品留样专柜（冰箱），设专人负责留样管理。对每餐次供应的食品进行留样，每个品种留样量不少于125克，按品种分别盛放于清洗消毒后的专用密闭容器和密闭留样专柜（冰箱）内，在冷藏条件下保存48小时以上，并做好对留样食品名称、留样量、留样时间、留样人、审核人员等文字记录。</w:t>
      </w:r>
    </w:p>
    <w:p w14:paraId="3BD20717">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第三十九条</w:t>
      </w:r>
      <w:r>
        <w:rPr>
          <w:rFonts w:hint="eastAsia" w:ascii="仿宋_GB2312" w:eastAsia="仿宋_GB2312"/>
          <w:sz w:val="32"/>
          <w:szCs w:val="32"/>
        </w:rPr>
        <w:t xml:space="preserve"> 建立并严格落实食品添加剂和食品及原材料采购进货查验记录制度，如实准确记录名称、规格、数量、生产日期或者生产批号、保质期、进货日期以及供货者名称、地址、联系方式等内容，并保留载有上述信息的相关凭证。进货查验记录和相关凭证保存期限不得少于产品保质期满后6个月；没有明确保质期的，保存期限不得少于2年；食用农产品的记录和凭证保存期限不得少于6个月。食品添加剂应专人采购、专人保管、专人领用、专人登记、专柜保存。</w:t>
      </w:r>
    </w:p>
    <w:p w14:paraId="35849497">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第四十条</w:t>
      </w:r>
      <w:r>
        <w:rPr>
          <w:rFonts w:hint="eastAsia" w:ascii="仿宋_GB2312" w:eastAsia="仿宋_GB2312"/>
          <w:sz w:val="32"/>
          <w:szCs w:val="32"/>
        </w:rPr>
        <w:t xml:space="preserve"> 建立食物中毒或其他食源性疾病等群体性突发事件的应急处理机制，制定完备的应急预案，定期开展演练。发生食物中毒或食源性疾病，按照就近、就地处置的原则及时快速处理，并按有关重大事项和信息报告规定，立即向属地市场监督管理、卫生健康、疾控和上级教育部门报告，不得瞒报、迟报、不报。</w:t>
      </w:r>
    </w:p>
    <w:p w14:paraId="477E3183">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第四十一条</w:t>
      </w:r>
      <w:r>
        <w:rPr>
          <w:rFonts w:hint="eastAsia" w:ascii="仿宋_GB2312" w:eastAsia="仿宋_GB2312"/>
          <w:sz w:val="32"/>
          <w:szCs w:val="32"/>
        </w:rPr>
        <w:t xml:space="preserve"> 加强学生食堂环境卫生整治，做好日常卫生检查，加强食品处理区、就餐场所的清洁消毒和通风换气，保持食堂内外环境干净、整洁。</w:t>
      </w:r>
    </w:p>
    <w:p w14:paraId="560DA35D">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第四十二条</w:t>
      </w:r>
      <w:r>
        <w:rPr>
          <w:rFonts w:hint="eastAsia" w:ascii="仿宋_GB2312" w:eastAsia="仿宋_GB2312"/>
          <w:sz w:val="32"/>
          <w:szCs w:val="32"/>
        </w:rPr>
        <w:t xml:space="preserve"> 学校要加强与属地卫生健康、疾控等部门的沟通协调，建立食品安全联动机制，建立突发公共卫生事件预防措施，不断提高应急处置能力。</w:t>
      </w:r>
    </w:p>
    <w:p w14:paraId="3E470DE2">
      <w:pPr>
        <w:spacing w:line="560" w:lineRule="exact"/>
        <w:jc w:val="center"/>
        <w:rPr>
          <w:rFonts w:hint="eastAsia" w:ascii="黑体" w:hAnsi="黑体" w:eastAsia="黑体"/>
          <w:sz w:val="32"/>
          <w:szCs w:val="32"/>
        </w:rPr>
      </w:pPr>
      <w:r>
        <w:rPr>
          <w:rFonts w:hint="eastAsia" w:ascii="黑体" w:hAnsi="黑体" w:eastAsia="黑体"/>
          <w:sz w:val="32"/>
          <w:szCs w:val="32"/>
        </w:rPr>
        <w:t>第六章  保障措施</w:t>
      </w:r>
    </w:p>
    <w:p w14:paraId="4737E21B">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第四十三条 </w:t>
      </w:r>
      <w:r>
        <w:rPr>
          <w:rFonts w:hint="eastAsia" w:ascii="仿宋_GB2312" w:eastAsia="仿宋_GB2312"/>
          <w:sz w:val="32"/>
          <w:szCs w:val="32"/>
        </w:rPr>
        <w:t>学生食堂严格按照北京高校学生食堂价格平抑资金管理使用办法等相关要求，按照规定的标准与市级财政教育经费拨款“平抑资金”部分拨付到校时同步计提，及时补贴至学生食堂“基本伙”，减轻食堂运行压力，确保学生食堂饭菜价格、质量平稳。</w:t>
      </w:r>
    </w:p>
    <w:p w14:paraId="04A38A21">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第四十四条 </w:t>
      </w:r>
      <w:r>
        <w:rPr>
          <w:rFonts w:hint="eastAsia" w:ascii="仿宋_GB2312" w:eastAsia="仿宋_GB2312"/>
          <w:sz w:val="32"/>
          <w:szCs w:val="32"/>
        </w:rPr>
        <w:t>学生食堂要按照非经营性资产管理，对服务实体实行“零租赁”，免收管理费；学生食堂的大型维修改造、大型餐饮设备配置和更新，空调、电梯、供暖等大型配套服务设施的投入和运行费用由学院承担。</w:t>
      </w:r>
    </w:p>
    <w:p w14:paraId="3D3F45FC">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第四十五条 </w:t>
      </w:r>
      <w:r>
        <w:rPr>
          <w:rFonts w:hint="eastAsia" w:ascii="仿宋_GB2312" w:eastAsia="仿宋_GB2312"/>
          <w:sz w:val="32"/>
          <w:szCs w:val="32"/>
        </w:rPr>
        <w:t>严格执行《国家发展改革委教育部关于学校水电气价格有关问题的通知》(发改价格〔2007〕2463号)规定，对学生食堂用电、用水、用气价格分别按居民用电、用水、用气价格执行。</w:t>
      </w:r>
    </w:p>
    <w:p w14:paraId="29D2AF99">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第四十六条 </w:t>
      </w:r>
      <w:r>
        <w:rPr>
          <w:rFonts w:hint="eastAsia" w:ascii="仿宋_GB2312" w:eastAsia="仿宋_GB2312"/>
          <w:sz w:val="32"/>
          <w:szCs w:val="32"/>
        </w:rPr>
        <w:t>对学生食堂因突发公共疫情、食品原材料及用工成本大幅上涨，导致“基本伙”出现困难和亏损时，学校应根据实际情况，给予合理补贴。</w:t>
      </w:r>
    </w:p>
    <w:p w14:paraId="1D9AE5A6">
      <w:pPr>
        <w:spacing w:line="560" w:lineRule="exact"/>
        <w:jc w:val="center"/>
        <w:rPr>
          <w:rFonts w:hint="eastAsia" w:ascii="黑体" w:hAnsi="黑体" w:eastAsia="黑体"/>
          <w:sz w:val="32"/>
          <w:szCs w:val="32"/>
        </w:rPr>
      </w:pPr>
      <w:r>
        <w:rPr>
          <w:rFonts w:hint="eastAsia" w:ascii="黑体" w:hAnsi="黑体" w:eastAsia="黑体"/>
          <w:sz w:val="32"/>
          <w:szCs w:val="32"/>
        </w:rPr>
        <w:t>第七章</w:t>
      </w:r>
      <w:r>
        <w:rPr>
          <w:rFonts w:hint="eastAsia" w:ascii="黑体" w:hAnsi="黑体" w:eastAsia="黑体"/>
          <w:sz w:val="32"/>
          <w:szCs w:val="32"/>
          <w:lang w:val="en-US" w:eastAsia="zh-CN"/>
        </w:rPr>
        <w:t xml:space="preserve"> </w:t>
      </w:r>
      <w:r>
        <w:rPr>
          <w:rFonts w:hint="eastAsia" w:ascii="黑体" w:hAnsi="黑体" w:eastAsia="黑体"/>
          <w:sz w:val="32"/>
          <w:szCs w:val="32"/>
        </w:rPr>
        <w:t xml:space="preserve"> 从业人员管理</w:t>
      </w:r>
    </w:p>
    <w:p w14:paraId="79710AA7">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第四十七条</w:t>
      </w:r>
      <w:r>
        <w:rPr>
          <w:rFonts w:hint="eastAsia" w:ascii="仿宋_GB2312" w:eastAsia="仿宋_GB2312"/>
          <w:sz w:val="32"/>
          <w:szCs w:val="32"/>
        </w:rPr>
        <w:t xml:space="preserve"> 建立从业人员管理台账，加强管理教育。严格执行从业人员健康管理制度，从事接触直接入口食品工作的从业人员必须取得有效的健康合格证明后方可上岗，必要时应进行临时健康检查；患有国家卫生健康委规定的有碍食品安全急病的人员，不得从事接触直接入口食品的工作。</w:t>
      </w:r>
    </w:p>
    <w:p w14:paraId="55D3AA76">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第四十八条 </w:t>
      </w:r>
      <w:r>
        <w:rPr>
          <w:rFonts w:hint="eastAsia" w:ascii="仿宋_GB2312" w:eastAsia="仿宋_GB2312"/>
          <w:sz w:val="32"/>
          <w:szCs w:val="32"/>
        </w:rPr>
        <w:t>严格落实晨午晚检制度，并做好相关记录。发现有发热、腹泻、皮肤伤口或感染、咽部炎症等有碍食品安全病症的，立即停止工作，待查明原因并治愈后，方可重新上岗；从业人员有不良思想倾向及行为、精神异常等现象的，立即调离工作岗位。</w:t>
      </w:r>
    </w:p>
    <w:p w14:paraId="565A3F41">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第四十九条 </w:t>
      </w:r>
      <w:r>
        <w:rPr>
          <w:rFonts w:hint="eastAsia" w:ascii="仿宋_GB2312" w:eastAsia="仿宋_GB2312"/>
          <w:sz w:val="32"/>
          <w:szCs w:val="32"/>
        </w:rPr>
        <w:t>食堂从业人员要具有良好的个人卫生习惯。坚持做到在处理食品及分餐前、处理食品原料及使用卫生间后用肥皂及流动清水洗手消毒；进入工作岗位前规范穿戴清洁的工作衣、帽及口罩，不得留长指甲、涂指甲油、佩戴饰物加工食品；不得在食品加工和供应场所内吸烟。</w:t>
      </w:r>
    </w:p>
    <w:p w14:paraId="7B178081">
      <w:pPr>
        <w:spacing w:line="560" w:lineRule="exact"/>
        <w:jc w:val="center"/>
        <w:rPr>
          <w:rFonts w:hint="eastAsia" w:ascii="黑体" w:hAnsi="黑体" w:eastAsia="黑体"/>
          <w:sz w:val="32"/>
          <w:szCs w:val="32"/>
        </w:rPr>
      </w:pPr>
      <w:r>
        <w:rPr>
          <w:rFonts w:hint="eastAsia" w:ascii="黑体" w:hAnsi="黑体" w:eastAsia="黑体"/>
          <w:sz w:val="32"/>
          <w:szCs w:val="32"/>
        </w:rPr>
        <w:t xml:space="preserve">第八章 </w:t>
      </w:r>
      <w:r>
        <w:rPr>
          <w:rFonts w:hint="eastAsia" w:ascii="黑体" w:hAnsi="黑体" w:eastAsia="黑体"/>
          <w:sz w:val="32"/>
          <w:szCs w:val="32"/>
          <w:lang w:val="en-US" w:eastAsia="zh-CN"/>
        </w:rPr>
        <w:t xml:space="preserve"> </w:t>
      </w:r>
      <w:r>
        <w:rPr>
          <w:rFonts w:hint="eastAsia" w:ascii="黑体" w:hAnsi="黑体" w:eastAsia="黑体"/>
          <w:sz w:val="32"/>
          <w:szCs w:val="32"/>
        </w:rPr>
        <w:t>宣传教育</w:t>
      </w:r>
    </w:p>
    <w:p w14:paraId="53145AEE">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第五十条</w:t>
      </w:r>
      <w:r>
        <w:rPr>
          <w:rFonts w:hint="eastAsia" w:ascii="仿宋_GB2312" w:eastAsia="仿宋_GB2312"/>
          <w:sz w:val="32"/>
          <w:szCs w:val="32"/>
        </w:rPr>
        <w:t xml:space="preserve"> 认真贯彻落实习近平总书记关于制止餐饮浪费行为的系列重要指示批示精神，广泛开展节约粮食、反对浪费宣传教育，大力营造浪费可耻、节约为荣的浓厚氛围，积极推行按需定量、按量计价和半份菜、小份菜、小份饭，持续推进“光盘行动”，坚决制止校园餐饮浪费行为。</w:t>
      </w:r>
    </w:p>
    <w:p w14:paraId="0AE93C46">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第五十一条</w:t>
      </w:r>
      <w:r>
        <w:rPr>
          <w:rFonts w:hint="eastAsia" w:ascii="仿宋_GB2312" w:eastAsia="仿宋_GB2312"/>
          <w:sz w:val="32"/>
          <w:szCs w:val="32"/>
        </w:rPr>
        <w:t xml:space="preserve"> 加强正面宣传引导，妥善处理学生对食堂饭菜价格、饭菜质量和服务水平等方面的情况反映及诉求，定期召开座谈会，及时向学生宣传党和国家相关政策以及学校的优惠措施，让学生了解和掌握市场物价波动情况，及时做好矛盾化解，增强就餐学生与学校在食堂管理工作中的良性互动。</w:t>
      </w:r>
    </w:p>
    <w:p w14:paraId="6DB17E23">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 xml:space="preserve">第五十二条 </w:t>
      </w:r>
      <w:r>
        <w:rPr>
          <w:rFonts w:hint="eastAsia" w:ascii="仿宋_GB2312" w:eastAsia="仿宋_GB2312"/>
          <w:sz w:val="32"/>
          <w:szCs w:val="32"/>
        </w:rPr>
        <w:t>加强对学生良好卫生饮食习惯的养成教育，大力倡导学生文明用餐，推动健康饮食理念入心见行，持续提升学生文明素养。重视学生食堂的餐饮文化建设，注重就餐环境的美化优化，创造健康的饮食文化，实现环境育人。</w:t>
      </w:r>
    </w:p>
    <w:p w14:paraId="1AE6CA65">
      <w:pPr>
        <w:spacing w:line="560" w:lineRule="exact"/>
        <w:jc w:val="center"/>
        <w:rPr>
          <w:rFonts w:hint="eastAsia" w:ascii="黑体" w:hAnsi="黑体" w:eastAsia="黑体"/>
          <w:sz w:val="32"/>
          <w:szCs w:val="32"/>
        </w:rPr>
      </w:pPr>
      <w:r>
        <w:rPr>
          <w:rFonts w:hint="eastAsia" w:ascii="黑体" w:hAnsi="黑体" w:eastAsia="黑体"/>
          <w:sz w:val="32"/>
          <w:szCs w:val="32"/>
        </w:rPr>
        <w:t xml:space="preserve">第九章 </w:t>
      </w:r>
      <w:r>
        <w:rPr>
          <w:rFonts w:hint="eastAsia" w:ascii="黑体" w:hAnsi="黑体" w:eastAsia="黑体"/>
          <w:sz w:val="32"/>
          <w:szCs w:val="32"/>
          <w:lang w:val="en-US" w:eastAsia="zh-CN"/>
        </w:rPr>
        <w:t xml:space="preserve"> </w:t>
      </w:r>
      <w:r>
        <w:rPr>
          <w:rFonts w:hint="eastAsia" w:ascii="黑体" w:hAnsi="黑体" w:eastAsia="黑体"/>
          <w:sz w:val="32"/>
          <w:szCs w:val="32"/>
        </w:rPr>
        <w:t>监督与检查</w:t>
      </w:r>
    </w:p>
    <w:p w14:paraId="54B97CCA">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第五十三条</w:t>
      </w:r>
      <w:r>
        <w:rPr>
          <w:rFonts w:hint="eastAsia" w:ascii="仿宋_GB2312" w:eastAsia="仿宋_GB2312"/>
          <w:sz w:val="32"/>
          <w:szCs w:val="32"/>
        </w:rPr>
        <w:t xml:space="preserve"> 建立完善学生食堂管理工作考核评价机制，加大监督检查力度，确保各项制度落实到位。对制度不健全、责任落实不到位、疏于管理等造成责任事故的，对于发生食品安全事故或群体性事件的，依法依规追究相关领导和相关人员的责任。</w:t>
      </w:r>
    </w:p>
    <w:p w14:paraId="0FE36321">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第五十四条</w:t>
      </w:r>
      <w:r>
        <w:rPr>
          <w:rFonts w:hint="eastAsia" w:ascii="仿宋_GB2312" w:eastAsia="仿宋_GB2312"/>
          <w:sz w:val="32"/>
          <w:szCs w:val="32"/>
        </w:rPr>
        <w:t xml:space="preserve"> 学校领导应定期深入学生食堂开展调研和检查，同学生一起就餐，掌握食堂管理现状，并及时召开伙食会议研究解决发现的问题。</w:t>
      </w:r>
    </w:p>
    <w:p w14:paraId="56F6D8B8">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第五十五条</w:t>
      </w:r>
      <w:r>
        <w:rPr>
          <w:rFonts w:hint="eastAsia" w:ascii="仿宋_GB2312" w:eastAsia="仿宋_GB2312"/>
          <w:sz w:val="32"/>
          <w:szCs w:val="32"/>
        </w:rPr>
        <w:t xml:space="preserve"> 充分发挥团委、学生会等群团组织的作用，畅通师生与食堂管理委员会的联系和沟通渠道，鼓励师生参与食堂民主监督，协助做好学生食堂管理工作。</w:t>
      </w:r>
    </w:p>
    <w:p w14:paraId="443DC03B">
      <w:pPr>
        <w:spacing w:line="560" w:lineRule="exact"/>
        <w:jc w:val="center"/>
        <w:rPr>
          <w:rFonts w:hint="eastAsia" w:ascii="黑体" w:hAnsi="黑体" w:eastAsia="黑体"/>
          <w:sz w:val="32"/>
          <w:szCs w:val="32"/>
        </w:rPr>
      </w:pPr>
      <w:r>
        <w:rPr>
          <w:rFonts w:hint="eastAsia" w:ascii="黑体" w:hAnsi="黑体" w:eastAsia="黑体"/>
          <w:sz w:val="32"/>
          <w:szCs w:val="32"/>
        </w:rPr>
        <w:t>第十章  附则</w:t>
      </w:r>
    </w:p>
    <w:p w14:paraId="26671908">
      <w:pPr>
        <w:spacing w:line="560" w:lineRule="exact"/>
        <w:ind w:firstLine="640" w:firstLineChars="200"/>
        <w:rPr>
          <w:rFonts w:hint="eastAsia" w:ascii="仿宋_GB2312" w:eastAsia="仿宋_GB2312"/>
          <w:sz w:val="32"/>
          <w:szCs w:val="32"/>
        </w:rPr>
      </w:pPr>
      <w:r>
        <w:rPr>
          <w:rFonts w:hint="eastAsia" w:ascii="黑体" w:hAnsi="黑体" w:eastAsia="黑体"/>
          <w:sz w:val="32"/>
          <w:szCs w:val="32"/>
        </w:rPr>
        <w:t>第五十六条</w:t>
      </w:r>
      <w:r>
        <w:rPr>
          <w:rFonts w:hint="eastAsia" w:ascii="仿宋_GB2312" w:eastAsia="仿宋_GB2312"/>
          <w:sz w:val="32"/>
          <w:szCs w:val="32"/>
        </w:rPr>
        <w:t xml:space="preserve"> 本办法由安全与后勤保障处负责解释。</w:t>
      </w:r>
    </w:p>
    <w:tbl>
      <w:tblPr>
        <w:tblStyle w:val="8"/>
        <w:tblpPr w:leftFromText="180" w:rightFromText="180" w:vertAnchor="page" w:horzAnchor="page" w:tblpX="1690" w:tblpY="14584"/>
        <w:tblW w:w="8928"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28"/>
      </w:tblGrid>
      <w:tr w14:paraId="7C5D4C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28" w:type="dxa"/>
            <w:noWrap w:val="0"/>
            <w:vAlign w:val="top"/>
          </w:tcPr>
          <w:p w14:paraId="29DE7446">
            <w:pPr>
              <w:ind w:firstLine="140" w:firstLineChars="50"/>
              <w:rPr>
                <w:rFonts w:hint="eastAsia"/>
                <w:kern w:val="0"/>
                <w:sz w:val="28"/>
                <w:szCs w:val="28"/>
              </w:rPr>
            </w:pPr>
            <w:r>
              <w:rPr>
                <w:rFonts w:hint="eastAsia" w:ascii="仿宋_GB2312" w:eastAsia="仿宋_GB2312"/>
                <w:sz w:val="28"/>
                <w:szCs w:val="28"/>
              </w:rPr>
              <w:t xml:space="preserve">党政办公室                             </w:t>
            </w:r>
            <w:r>
              <w:rPr>
                <w:rFonts w:ascii="仿宋_GB2312" w:eastAsia="仿宋_GB2312"/>
                <w:sz w:val="28"/>
                <w:szCs w:val="28"/>
              </w:rPr>
              <w:t xml:space="preserve"> </w:t>
            </w:r>
            <w:r>
              <w:rPr>
                <w:rFonts w:hint="eastAsia" w:ascii="仿宋_GB2312" w:eastAsia="仿宋_GB2312"/>
                <w:sz w:val="28"/>
                <w:szCs w:val="28"/>
              </w:rPr>
              <w:t>202</w:t>
            </w:r>
            <w:r>
              <w:rPr>
                <w:rFonts w:ascii="仿宋_GB2312" w:eastAsia="仿宋_GB2312"/>
                <w:sz w:val="28"/>
                <w:szCs w:val="28"/>
              </w:rPr>
              <w:t>4</w:t>
            </w:r>
            <w:r>
              <w:rPr>
                <w:rFonts w:hint="eastAsia" w:ascii="仿宋_GB2312" w:eastAsia="仿宋_GB2312"/>
                <w:sz w:val="28"/>
                <w:szCs w:val="28"/>
              </w:rPr>
              <w:t>年</w:t>
            </w:r>
            <w:r>
              <w:rPr>
                <w:rFonts w:ascii="仿宋_GB2312" w:eastAsia="仿宋_GB2312"/>
                <w:sz w:val="28"/>
                <w:szCs w:val="28"/>
              </w:rPr>
              <w:t>12</w:t>
            </w:r>
            <w:r>
              <w:rPr>
                <w:rFonts w:hint="eastAsia" w:ascii="仿宋_GB2312" w:eastAsia="仿宋_GB2312"/>
                <w:sz w:val="28"/>
                <w:szCs w:val="28"/>
              </w:rPr>
              <w:t>月</w:t>
            </w:r>
            <w:r>
              <w:rPr>
                <w:rFonts w:ascii="仿宋_GB2312" w:eastAsia="仿宋_GB2312"/>
                <w:sz w:val="28"/>
                <w:szCs w:val="28"/>
              </w:rPr>
              <w:t>1</w:t>
            </w:r>
            <w:r>
              <w:rPr>
                <w:rFonts w:hint="eastAsia" w:ascii="仿宋_GB2312" w:eastAsia="仿宋_GB2312"/>
                <w:sz w:val="28"/>
                <w:szCs w:val="28"/>
                <w:lang w:val="en-US" w:eastAsia="zh-CN"/>
              </w:rPr>
              <w:t>8</w:t>
            </w:r>
            <w:r>
              <w:rPr>
                <w:rFonts w:hint="eastAsia" w:ascii="仿宋_GB2312" w:eastAsia="仿宋_GB2312"/>
                <w:sz w:val="28"/>
                <w:szCs w:val="28"/>
              </w:rPr>
              <w:t>日印发</w:t>
            </w:r>
          </w:p>
        </w:tc>
      </w:tr>
    </w:tbl>
    <w:p w14:paraId="7E95E20C">
      <w:pPr>
        <w:spacing w:line="560" w:lineRule="exact"/>
        <w:ind w:left="958" w:leftChars="304" w:hanging="320" w:hangingChars="100"/>
        <w:rPr>
          <w:rFonts w:ascii="仿宋_GB2312" w:eastAsia="仿宋_GB2312"/>
          <w:sz w:val="32"/>
          <w:szCs w:val="32"/>
        </w:rPr>
      </w:pPr>
      <w:r>
        <w:rPr>
          <w:rFonts w:hint="eastAsia" w:ascii="黑体" w:hAnsi="黑体" w:eastAsia="黑体"/>
          <w:sz w:val="32"/>
          <w:szCs w:val="32"/>
        </w:rPr>
        <w:t xml:space="preserve">第五十七条 </w:t>
      </w:r>
      <w:r>
        <w:rPr>
          <w:rFonts w:hint="eastAsia" w:ascii="仿宋_GB2312" w:eastAsia="仿宋_GB2312"/>
          <w:sz w:val="32"/>
          <w:szCs w:val="32"/>
        </w:rPr>
        <w:t>本办法自发布之日起执行。</w:t>
      </w:r>
    </w:p>
    <w:bookmarkEnd w:id="0"/>
    <w:sectPr>
      <w:headerReference r:id="rId3" w:type="default"/>
      <w:footerReference r:id="rId5" w:type="default"/>
      <w:headerReference r:id="rId4" w:type="even"/>
      <w:footerReference r:id="rId6" w:type="even"/>
      <w:pgSz w:w="11906" w:h="16838"/>
      <w:pgMar w:top="2098" w:right="1474" w:bottom="1984" w:left="158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003F01FF" w:csb1="00000000"/>
  </w:font>
  <w:font w:name="Verdana">
    <w:panose1 w:val="020B0604030504040204"/>
    <w:charset w:val="00"/>
    <w:family w:val="swiss"/>
    <w:pitch w:val="default"/>
    <w:sig w:usb0="A00006FF" w:usb1="4000205B" w:usb2="00000010" w:usb3="00000000" w:csb0="2000019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2E52E8">
    <w:pPr>
      <w:pStyle w:val="5"/>
      <w:ind w:right="360" w:firstLine="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posOffset>5191125</wp:posOffset>
              </wp:positionH>
              <wp:positionV relativeFrom="paragraph">
                <wp:posOffset>-38100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661C5D">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408.75pt;margin-top:-3pt;height:144pt;width:144pt;mso-position-horizontal-relative:margin;mso-wrap-style:none;z-index:251659264;mso-width-relative:page;mso-height-relative:page;" filled="f" stroked="f" coordsize="21600,21600" o:gfxdata="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9DssrtcAAAALAQAADwAAAAAAAAABACAAAAAiAAAAZHJzL2Rvd25yZXYueG1s&#10;UEsBAhQAFAAAAAgAh07iQOGA044yAgAAYQQAAA4AAAAAAAAAAQAgAAAAJgEAAGRycy9lMm9Eb2Mu&#10;eG1sUEsFBgAAAAAGAAYAWQEAAMoFAAAAAA==&#10;">
              <v:fill on="f" focussize="0,0"/>
              <v:stroke on="f" weight="0.5pt"/>
              <v:imagedata o:title=""/>
              <o:lock v:ext="edit" aspectratio="f"/>
              <v:textbox inset="0mm,0mm,0mm,0mm" style="mso-fit-shape-to-text:t;">
                <w:txbxContent>
                  <w:p w14:paraId="4F661C5D">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20AAFB">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703C5">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lef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C703C5">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AA01F">
    <w:pPr>
      <w:pStyle w:val="6"/>
      <w:pBdr>
        <w:bottom w:val="none" w:color="auto" w:sz="0" w:space="1"/>
      </w:pBdr>
      <w:jc w:val="both"/>
      <w:rPr>
        <w:rFonts w:hint="eastAsia"/>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B3980E">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402"/>
    <w:rsid w:val="00020E2C"/>
    <w:rsid w:val="00023AAC"/>
    <w:rsid w:val="0002699B"/>
    <w:rsid w:val="000718F2"/>
    <w:rsid w:val="00080F16"/>
    <w:rsid w:val="000A5250"/>
    <w:rsid w:val="000B2073"/>
    <w:rsid w:val="000B7598"/>
    <w:rsid w:val="000B793C"/>
    <w:rsid w:val="000C2039"/>
    <w:rsid w:val="000D7D8A"/>
    <w:rsid w:val="000F229D"/>
    <w:rsid w:val="000F3693"/>
    <w:rsid w:val="0010420F"/>
    <w:rsid w:val="00106769"/>
    <w:rsid w:val="00106EC4"/>
    <w:rsid w:val="00111794"/>
    <w:rsid w:val="00125AF9"/>
    <w:rsid w:val="00135A2B"/>
    <w:rsid w:val="00144611"/>
    <w:rsid w:val="00155DAE"/>
    <w:rsid w:val="001620BD"/>
    <w:rsid w:val="00163467"/>
    <w:rsid w:val="00173053"/>
    <w:rsid w:val="00176360"/>
    <w:rsid w:val="00187162"/>
    <w:rsid w:val="001A6A0A"/>
    <w:rsid w:val="001C1939"/>
    <w:rsid w:val="001D2429"/>
    <w:rsid w:val="001E7DA5"/>
    <w:rsid w:val="001F20E3"/>
    <w:rsid w:val="001F51CC"/>
    <w:rsid w:val="00204868"/>
    <w:rsid w:val="002068E4"/>
    <w:rsid w:val="0020782C"/>
    <w:rsid w:val="00211B19"/>
    <w:rsid w:val="00217E72"/>
    <w:rsid w:val="002200E2"/>
    <w:rsid w:val="00223698"/>
    <w:rsid w:val="00223C74"/>
    <w:rsid w:val="002248FD"/>
    <w:rsid w:val="00233074"/>
    <w:rsid w:val="002346C9"/>
    <w:rsid w:val="00265604"/>
    <w:rsid w:val="002737AA"/>
    <w:rsid w:val="002808DC"/>
    <w:rsid w:val="00283CC8"/>
    <w:rsid w:val="00292D15"/>
    <w:rsid w:val="002A3A67"/>
    <w:rsid w:val="002B0B2D"/>
    <w:rsid w:val="002B3C61"/>
    <w:rsid w:val="002B6D6E"/>
    <w:rsid w:val="002C1B00"/>
    <w:rsid w:val="002C413C"/>
    <w:rsid w:val="002D2FB4"/>
    <w:rsid w:val="002F2008"/>
    <w:rsid w:val="00307C13"/>
    <w:rsid w:val="00354DF0"/>
    <w:rsid w:val="003675A5"/>
    <w:rsid w:val="00372A8B"/>
    <w:rsid w:val="00372FFA"/>
    <w:rsid w:val="00375F0E"/>
    <w:rsid w:val="00376475"/>
    <w:rsid w:val="003773E8"/>
    <w:rsid w:val="00384914"/>
    <w:rsid w:val="00391345"/>
    <w:rsid w:val="00394B8E"/>
    <w:rsid w:val="003B6EF7"/>
    <w:rsid w:val="003C3E10"/>
    <w:rsid w:val="003C6E87"/>
    <w:rsid w:val="00400125"/>
    <w:rsid w:val="00421DA8"/>
    <w:rsid w:val="00456297"/>
    <w:rsid w:val="00465A10"/>
    <w:rsid w:val="0047013F"/>
    <w:rsid w:val="00493485"/>
    <w:rsid w:val="004C58CA"/>
    <w:rsid w:val="004C695D"/>
    <w:rsid w:val="004C775A"/>
    <w:rsid w:val="004D5701"/>
    <w:rsid w:val="00513475"/>
    <w:rsid w:val="00513900"/>
    <w:rsid w:val="00536E0B"/>
    <w:rsid w:val="00571BA8"/>
    <w:rsid w:val="0059205D"/>
    <w:rsid w:val="005A0A0B"/>
    <w:rsid w:val="005B36D2"/>
    <w:rsid w:val="005B5417"/>
    <w:rsid w:val="005D03C4"/>
    <w:rsid w:val="005F7DA2"/>
    <w:rsid w:val="00600F7A"/>
    <w:rsid w:val="00614074"/>
    <w:rsid w:val="00616343"/>
    <w:rsid w:val="006200B0"/>
    <w:rsid w:val="00620221"/>
    <w:rsid w:val="006365F1"/>
    <w:rsid w:val="00641465"/>
    <w:rsid w:val="00652226"/>
    <w:rsid w:val="006709CA"/>
    <w:rsid w:val="00672FEC"/>
    <w:rsid w:val="00676BE1"/>
    <w:rsid w:val="00683A69"/>
    <w:rsid w:val="00691375"/>
    <w:rsid w:val="00692BCB"/>
    <w:rsid w:val="006B2FD4"/>
    <w:rsid w:val="006B3ECC"/>
    <w:rsid w:val="006E0E78"/>
    <w:rsid w:val="006F17CC"/>
    <w:rsid w:val="007161B1"/>
    <w:rsid w:val="0071751A"/>
    <w:rsid w:val="007201E2"/>
    <w:rsid w:val="00727C20"/>
    <w:rsid w:val="007400A5"/>
    <w:rsid w:val="00746DE4"/>
    <w:rsid w:val="00754E0F"/>
    <w:rsid w:val="00762D8F"/>
    <w:rsid w:val="0076351B"/>
    <w:rsid w:val="00780581"/>
    <w:rsid w:val="00794AEE"/>
    <w:rsid w:val="00794EFF"/>
    <w:rsid w:val="007966D7"/>
    <w:rsid w:val="007A3F29"/>
    <w:rsid w:val="007B28B6"/>
    <w:rsid w:val="007B5C57"/>
    <w:rsid w:val="007B7EC7"/>
    <w:rsid w:val="007C0B29"/>
    <w:rsid w:val="007C7F7F"/>
    <w:rsid w:val="007D422E"/>
    <w:rsid w:val="007E3503"/>
    <w:rsid w:val="007F6073"/>
    <w:rsid w:val="0080642C"/>
    <w:rsid w:val="00817597"/>
    <w:rsid w:val="00822BBD"/>
    <w:rsid w:val="008322E6"/>
    <w:rsid w:val="008343DC"/>
    <w:rsid w:val="00883645"/>
    <w:rsid w:val="0089617F"/>
    <w:rsid w:val="008C21FE"/>
    <w:rsid w:val="008D6132"/>
    <w:rsid w:val="008E6090"/>
    <w:rsid w:val="009031D0"/>
    <w:rsid w:val="009073A6"/>
    <w:rsid w:val="0091207F"/>
    <w:rsid w:val="009276E4"/>
    <w:rsid w:val="00947D29"/>
    <w:rsid w:val="0095086E"/>
    <w:rsid w:val="009621CD"/>
    <w:rsid w:val="009648CA"/>
    <w:rsid w:val="00971F82"/>
    <w:rsid w:val="00974712"/>
    <w:rsid w:val="00985919"/>
    <w:rsid w:val="00987A3F"/>
    <w:rsid w:val="009A600E"/>
    <w:rsid w:val="009B2027"/>
    <w:rsid w:val="009B20B8"/>
    <w:rsid w:val="009B42F2"/>
    <w:rsid w:val="009B6788"/>
    <w:rsid w:val="009C459C"/>
    <w:rsid w:val="009C69EF"/>
    <w:rsid w:val="009D73E0"/>
    <w:rsid w:val="009E2D99"/>
    <w:rsid w:val="009E6F88"/>
    <w:rsid w:val="009F3936"/>
    <w:rsid w:val="00A01AF2"/>
    <w:rsid w:val="00A0788B"/>
    <w:rsid w:val="00A13272"/>
    <w:rsid w:val="00A147B0"/>
    <w:rsid w:val="00A23402"/>
    <w:rsid w:val="00A25987"/>
    <w:rsid w:val="00A274CA"/>
    <w:rsid w:val="00A32A28"/>
    <w:rsid w:val="00A55793"/>
    <w:rsid w:val="00A57D6E"/>
    <w:rsid w:val="00A670FC"/>
    <w:rsid w:val="00A77FB3"/>
    <w:rsid w:val="00A80313"/>
    <w:rsid w:val="00A92C0D"/>
    <w:rsid w:val="00AC1361"/>
    <w:rsid w:val="00AC1F61"/>
    <w:rsid w:val="00AC3BBA"/>
    <w:rsid w:val="00AC5590"/>
    <w:rsid w:val="00AD26F2"/>
    <w:rsid w:val="00AE021F"/>
    <w:rsid w:val="00AE0CAE"/>
    <w:rsid w:val="00B43F9A"/>
    <w:rsid w:val="00B443CF"/>
    <w:rsid w:val="00B46C79"/>
    <w:rsid w:val="00B75906"/>
    <w:rsid w:val="00B77052"/>
    <w:rsid w:val="00B810CB"/>
    <w:rsid w:val="00B85B24"/>
    <w:rsid w:val="00BA1FAF"/>
    <w:rsid w:val="00BA7006"/>
    <w:rsid w:val="00BC1BB1"/>
    <w:rsid w:val="00BD32F3"/>
    <w:rsid w:val="00BE58D2"/>
    <w:rsid w:val="00C05B1D"/>
    <w:rsid w:val="00C070E0"/>
    <w:rsid w:val="00C10D36"/>
    <w:rsid w:val="00C272FC"/>
    <w:rsid w:val="00C4278B"/>
    <w:rsid w:val="00C934E0"/>
    <w:rsid w:val="00C96D10"/>
    <w:rsid w:val="00CA125B"/>
    <w:rsid w:val="00CC6AA3"/>
    <w:rsid w:val="00CD33FD"/>
    <w:rsid w:val="00CF50F1"/>
    <w:rsid w:val="00D07DF5"/>
    <w:rsid w:val="00D279A8"/>
    <w:rsid w:val="00D571D6"/>
    <w:rsid w:val="00D704F4"/>
    <w:rsid w:val="00D73B85"/>
    <w:rsid w:val="00D768A5"/>
    <w:rsid w:val="00D81083"/>
    <w:rsid w:val="00D96EA7"/>
    <w:rsid w:val="00DB0062"/>
    <w:rsid w:val="00DC1DE1"/>
    <w:rsid w:val="00DE6448"/>
    <w:rsid w:val="00DE7295"/>
    <w:rsid w:val="00DF0A95"/>
    <w:rsid w:val="00DF4209"/>
    <w:rsid w:val="00E01DF4"/>
    <w:rsid w:val="00E04B15"/>
    <w:rsid w:val="00E05D19"/>
    <w:rsid w:val="00E07C33"/>
    <w:rsid w:val="00E26D57"/>
    <w:rsid w:val="00E34A89"/>
    <w:rsid w:val="00E45F85"/>
    <w:rsid w:val="00E46C32"/>
    <w:rsid w:val="00E575C3"/>
    <w:rsid w:val="00E57F70"/>
    <w:rsid w:val="00E60E0B"/>
    <w:rsid w:val="00E80E76"/>
    <w:rsid w:val="00E86447"/>
    <w:rsid w:val="00EA31A2"/>
    <w:rsid w:val="00EB67F8"/>
    <w:rsid w:val="00EB7D8F"/>
    <w:rsid w:val="00EC2948"/>
    <w:rsid w:val="00EC75AD"/>
    <w:rsid w:val="00ED3D87"/>
    <w:rsid w:val="00F061C1"/>
    <w:rsid w:val="00F12E83"/>
    <w:rsid w:val="00F13745"/>
    <w:rsid w:val="00F14845"/>
    <w:rsid w:val="00F419C0"/>
    <w:rsid w:val="00F5727E"/>
    <w:rsid w:val="00F8286A"/>
    <w:rsid w:val="00FA0F9B"/>
    <w:rsid w:val="00FB03C3"/>
    <w:rsid w:val="00FB6BB1"/>
    <w:rsid w:val="00FE40F1"/>
    <w:rsid w:val="1589500A"/>
    <w:rsid w:val="290F6BBD"/>
    <w:rsid w:val="2B1F77A5"/>
    <w:rsid w:val="2C5D2274"/>
    <w:rsid w:val="2E53323A"/>
    <w:rsid w:val="48062FC1"/>
    <w:rsid w:val="638F7BB4"/>
    <w:rsid w:val="6A26538D"/>
    <w:rsid w:val="6A8B5CB0"/>
    <w:rsid w:val="7DF44040"/>
    <w:rsid w:val="7FAC73A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pPr>
      <w:ind w:left="100" w:leftChars="2500"/>
    </w:pPr>
  </w:style>
  <w:style w:type="paragraph" w:styleId="4">
    <w:name w:val="Balloon Text"/>
    <w:basedOn w:val="1"/>
    <w:link w:val="14"/>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Arial Unicode MS" w:hAnsi="Arial Unicode MS" w:eastAsia="Arial Unicode MS" w:cs="Arial Unicode MS"/>
      <w:kern w:val="0"/>
      <w:sz w:val="24"/>
    </w:rPr>
  </w:style>
  <w:style w:type="table" w:styleId="9">
    <w:name w:val="Table Grid"/>
    <w:basedOn w:val="8"/>
    <w:qFormat/>
    <w:uiPriority w:val="3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qFormat/>
    <w:uiPriority w:val="0"/>
    <w:rPr>
      <w:b/>
      <w:bCs/>
    </w:rPr>
  </w:style>
  <w:style w:type="character" w:styleId="12">
    <w:name w:val="page number"/>
    <w:qFormat/>
    <w:uiPriority w:val="0"/>
  </w:style>
  <w:style w:type="character" w:customStyle="1" w:styleId="13">
    <w:name w:val="标题 1 字符"/>
    <w:link w:val="2"/>
    <w:qFormat/>
    <w:uiPriority w:val="9"/>
    <w:rPr>
      <w:rFonts w:ascii="宋体" w:hAnsi="宋体" w:cs="宋体"/>
      <w:b/>
      <w:bCs/>
      <w:kern w:val="36"/>
      <w:sz w:val="48"/>
      <w:szCs w:val="48"/>
    </w:rPr>
  </w:style>
  <w:style w:type="character" w:customStyle="1" w:styleId="14">
    <w:name w:val="批注框文本 字符"/>
    <w:link w:val="4"/>
    <w:qFormat/>
    <w:uiPriority w:val="0"/>
    <w:rPr>
      <w:kern w:val="2"/>
      <w:sz w:val="18"/>
      <w:szCs w:val="18"/>
    </w:rPr>
  </w:style>
  <w:style w:type="paragraph" w:customStyle="1" w:styleId="15">
    <w:name w:val=" Char Char"/>
    <w:basedOn w:val="1"/>
    <w:semiHidden/>
    <w:qFormat/>
    <w:uiPriority w:val="0"/>
    <w:pPr>
      <w:widowControl/>
      <w:spacing w:after="160" w:line="240" w:lineRule="exact"/>
      <w:jc w:val="left"/>
    </w:pPr>
    <w:rPr>
      <w:rFonts w:ascii="Verdana" w:hAnsi="Verdana" w:cs="Verdana"/>
      <w:kern w:val="0"/>
      <w:sz w:val="20"/>
      <w:szCs w:val="20"/>
      <w:lang w:eastAsia="en-US"/>
    </w:rPr>
  </w:style>
  <w:style w:type="paragraph" w:customStyle="1" w:styleId="16">
    <w:name w:val=" Char"/>
    <w:basedOn w:val="1"/>
    <w:qFormat/>
    <w:uiPriority w:val="0"/>
    <w:rPr>
      <w:rFonts w:ascii="宋体" w:hAnsi="宋体" w:cs="Courier New"/>
      <w:sz w:val="32"/>
      <w:szCs w:val="32"/>
    </w:rPr>
  </w:style>
  <w:style w:type="character" w:customStyle="1" w:styleId="17">
    <w:name w:val="正文文本 (3)_"/>
    <w:link w:val="18"/>
    <w:qFormat/>
    <w:locked/>
    <w:uiPriority w:val="99"/>
    <w:rPr>
      <w:rFonts w:ascii="宋体" w:cs="宋体"/>
      <w:spacing w:val="20"/>
      <w:sz w:val="30"/>
      <w:szCs w:val="30"/>
      <w:shd w:val="clear" w:color="auto" w:fill="FFFFFF"/>
    </w:rPr>
  </w:style>
  <w:style w:type="paragraph" w:customStyle="1" w:styleId="18">
    <w:name w:val="正文文本 (3)"/>
    <w:basedOn w:val="1"/>
    <w:link w:val="17"/>
    <w:qFormat/>
    <w:uiPriority w:val="99"/>
    <w:pPr>
      <w:shd w:val="clear" w:color="auto" w:fill="FFFFFF"/>
      <w:spacing w:line="610" w:lineRule="exact"/>
      <w:jc w:val="left"/>
    </w:pPr>
    <w:rPr>
      <w:rFonts w:ascii="宋体" w:cs="宋体"/>
      <w:spacing w:val="20"/>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12</Pages>
  <Words>5751</Words>
  <Characters>5793</Characters>
  <Lines>42</Lines>
  <Paragraphs>11</Paragraphs>
  <TotalTime>33</TotalTime>
  <ScaleCrop>false</ScaleCrop>
  <LinksUpToDate>false</LinksUpToDate>
  <CharactersWithSpaces>5902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2024-09-02T06:16:00Z</dcterms:created>
  <dc:creator>hp</dc:creator>
  <cp:lastModifiedBy>DELL</cp:lastModifiedBy>
  <cp:lastPrinted>2024-06-27T05:18:00Z</cp:lastPrinted>
  <dcterms:modified xsi:type="dcterms:W3CDTF">2024-12-18T03:26:26Z</dcterms:modified>
  <dc:title>中共北京青年政治学院委员会中心组2008年理论学习计划</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69B0EEB0962D4593A1F1F63FA366E77D_13</vt:lpwstr>
  </property>
</Properties>
</file>