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5236" w:type="pct"/>
        <w:jc w:val="center"/>
        <w:tblLayout w:type="autofit"/>
        <w:tblCellMar>
          <w:top w:w="0" w:type="dxa"/>
          <w:left w:w="108" w:type="dxa"/>
          <w:bottom w:w="0" w:type="dxa"/>
          <w:right w:w="108" w:type="dxa"/>
        </w:tblCellMar>
      </w:tblPr>
      <w:tblGrid>
        <w:gridCol w:w="9489"/>
      </w:tblGrid>
      <w:tr>
        <w:tblPrEx>
          <w:tblCellMar>
            <w:top w:w="0" w:type="dxa"/>
            <w:left w:w="108" w:type="dxa"/>
            <w:bottom w:w="0" w:type="dxa"/>
            <w:right w:w="108" w:type="dxa"/>
          </w:tblCellMar>
        </w:tblPrEx>
        <w:trPr>
          <w:trHeight w:val="1095" w:hRule="atLeast"/>
          <w:jc w:val="center"/>
        </w:trPr>
        <w:tc>
          <w:tcPr>
            <w:tcW w:w="5000" w:type="pct"/>
            <w:noWrap w:val="0"/>
            <w:vAlign w:val="center"/>
          </w:tcPr>
          <w:p>
            <w:pPr>
              <w:spacing w:line="540" w:lineRule="exact"/>
              <w:jc w:val="center"/>
              <w:rPr>
                <w:rFonts w:ascii="方正小标宋简体" w:hAnsi="宋体" w:eastAsia="方正小标宋简体"/>
                <w:color w:val="FF0000"/>
                <w:spacing w:val="-24"/>
              </w:rPr>
            </w:pPr>
            <w:bookmarkStart w:id="0" w:name="OLE_LINK1"/>
            <w:bookmarkStart w:id="1" w:name="OLE_LINK6"/>
          </w:p>
        </w:tc>
      </w:tr>
      <w:tr>
        <w:tblPrEx>
          <w:tblCellMar>
            <w:top w:w="0" w:type="dxa"/>
            <w:left w:w="108" w:type="dxa"/>
            <w:bottom w:w="0" w:type="dxa"/>
            <w:right w:w="108" w:type="dxa"/>
          </w:tblCellMar>
        </w:tblPrEx>
        <w:trPr>
          <w:trHeight w:val="1957" w:hRule="atLeast"/>
          <w:jc w:val="center"/>
        </w:trPr>
        <w:tc>
          <w:tcPr>
            <w:tcW w:w="5000" w:type="pct"/>
            <w:noWrap w:val="0"/>
            <w:vAlign w:val="center"/>
          </w:tcPr>
          <w:p>
            <w:pPr>
              <w:jc w:val="center"/>
              <w:rPr>
                <w:rFonts w:ascii="方正小标宋简体" w:hAnsi="宋体" w:eastAsia="方正小标宋简体"/>
                <w:color w:val="FF0000"/>
                <w:spacing w:val="-10"/>
                <w:sz w:val="60"/>
                <w:szCs w:val="60"/>
              </w:rPr>
            </w:pPr>
            <w:r>
              <w:rPr>
                <w:rFonts w:hint="eastAsia" w:ascii="方正小标宋简体" w:hAnsi="宋体" w:eastAsia="方正小标宋简体"/>
                <w:color w:val="FF0000"/>
                <w:spacing w:val="-10"/>
                <w:sz w:val="60"/>
                <w:szCs w:val="60"/>
              </w:rPr>
              <w:t>中共北京青年政治学院委员会文件</w:t>
            </w:r>
          </w:p>
        </w:tc>
      </w:tr>
      <w:tr>
        <w:tblPrEx>
          <w:tblCellMar>
            <w:top w:w="0" w:type="dxa"/>
            <w:left w:w="108" w:type="dxa"/>
            <w:bottom w:w="0" w:type="dxa"/>
            <w:right w:w="108" w:type="dxa"/>
          </w:tblCellMar>
        </w:tblPrEx>
        <w:trPr>
          <w:trHeight w:val="638" w:hRule="atLeast"/>
          <w:jc w:val="center"/>
        </w:trPr>
        <w:tc>
          <w:tcPr>
            <w:tcW w:w="5000" w:type="pct"/>
            <w:noWrap w:val="0"/>
            <w:vAlign w:val="center"/>
          </w:tcPr>
          <w:p>
            <w:pPr>
              <w:spacing w:line="540" w:lineRule="exact"/>
              <w:jc w:val="center"/>
              <w:rPr>
                <w:rFonts w:ascii="仿宋_GB2312" w:hAnsi="宋体" w:eastAsia="仿宋_GB2312"/>
                <w:color w:val="FF0000"/>
                <w:sz w:val="32"/>
                <w:szCs w:val="32"/>
              </w:rPr>
            </w:pPr>
          </w:p>
        </w:tc>
      </w:tr>
      <w:tr>
        <w:trPr>
          <w:trHeight w:val="623" w:hRule="atLeast"/>
          <w:jc w:val="center"/>
        </w:trPr>
        <w:tc>
          <w:tcPr>
            <w:tcW w:w="5000" w:type="pct"/>
            <w:noWrap w:val="0"/>
            <w:vAlign w:val="center"/>
          </w:tcPr>
          <w:p>
            <w:pPr>
              <w:spacing w:line="540" w:lineRule="exact"/>
              <w:jc w:val="center"/>
              <w:rPr>
                <w:rFonts w:ascii="仿宋_GB2312" w:eastAsia="仿宋_GB2312"/>
                <w:color w:val="000000"/>
                <w:sz w:val="32"/>
                <w:szCs w:val="32"/>
              </w:rPr>
            </w:pPr>
            <w:r>
              <w:rPr>
                <w:rFonts w:ascii="Calibri" w:hAnsi="Calibri"/>
              </w:rPr>
              <mc:AlternateContent>
                <mc:Choice Requires="wps">
                  <w:drawing>
                    <wp:anchor distT="0" distB="0" distL="114300" distR="114300" simplePos="0" relativeHeight="251659264" behindDoc="1" locked="0" layoutInCell="1" allowOverlap="1">
                      <wp:simplePos x="0" y="0"/>
                      <wp:positionH relativeFrom="column">
                        <wp:posOffset>-118745</wp:posOffset>
                      </wp:positionH>
                      <wp:positionV relativeFrom="paragraph">
                        <wp:posOffset>176530</wp:posOffset>
                      </wp:positionV>
                      <wp:extent cx="5944235" cy="685800"/>
                      <wp:effectExtent l="0" t="0" r="12065" b="0"/>
                      <wp:wrapNone/>
                      <wp:docPr id="1" name="文本框 1"/>
                      <wp:cNvGraphicFramePr/>
                      <a:graphic xmlns:a="http://schemas.openxmlformats.org/drawingml/2006/main">
                        <a:graphicData uri="http://schemas.microsoft.com/office/word/2010/wordprocessingShape">
                          <wps:wsp>
                            <wps:cNvSpPr txBox="1"/>
                            <wps:spPr>
                              <a:xfrm>
                                <a:off x="0" y="0"/>
                                <a:ext cx="5944235" cy="685800"/>
                              </a:xfrm>
                              <a:prstGeom prst="rect">
                                <a:avLst/>
                              </a:prstGeom>
                              <a:solidFill>
                                <a:srgbClr val="FFFFFF"/>
                              </a:solidFill>
                              <a:ln>
                                <a:noFill/>
                              </a:ln>
                            </wps:spPr>
                            <wps:txbx>
                              <w:txbxContent>
                                <w:p>
                                  <w:pPr>
                                    <w:tabs>
                                      <w:tab w:val="left" w:pos="8647"/>
                                      <w:tab w:val="left" w:pos="8789"/>
                                      <w:tab w:val="left" w:pos="8931"/>
                                    </w:tabs>
                                  </w:pPr>
                                  <w:r>
                                    <w:rPr>
                                      <w:rFonts w:hint="eastAsia" w:ascii="华文中宋" w:hAnsi="华文中宋" w:eastAsia="华文中宋"/>
                                      <w:color w:val="FF0000"/>
                                      <w:sz w:val="44"/>
                                      <w:szCs w:val="44"/>
                                    </w:rPr>
                                    <w:t>————————— ★ —————————</w:t>
                                  </w:r>
                                </w:p>
                              </w:txbxContent>
                            </wps:txbx>
                            <wps:bodyPr upright="1"/>
                          </wps:wsp>
                        </a:graphicData>
                      </a:graphic>
                    </wp:anchor>
                  </w:drawing>
                </mc:Choice>
                <mc:Fallback>
                  <w:pict>
                    <v:shape id="_x0000_s1026" o:spid="_x0000_s1026" o:spt="202" type="#_x0000_t202" style="position:absolute;left:0pt;margin-left:-9.35pt;margin-top:13.9pt;height:54pt;width:468.05pt;z-index:-251657216;mso-width-relative:page;mso-height-relative:page;" fillcolor="#FFFFFF" filled="t" stroked="f" coordsize="21600,21600" o:gfxdata="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4EC5FNgAAAAKAQAADwAAAAAAAAABACAAAAAiAAAAZHJzL2Rvd25yZXYu&#10;eG1sUEsBAhQAFAAAAAgAh07iQDz9cTHCAQAAdwMAAA4AAAAAAAAAAQAgAAAAJwEAAGRycy9lMm9E&#10;b2MueG1sUEsFBgAAAAAGAAYAWQEAAFsFAAAAAA==&#10;">
                      <v:fill on="t" focussize="0,0"/>
                      <v:stroke on="f"/>
                      <v:imagedata o:title=""/>
                      <o:lock v:ext="edit" aspectratio="f"/>
                      <v:textbox>
                        <w:txbxContent>
                          <w:p>
                            <w:pPr>
                              <w:tabs>
                                <w:tab w:val="left" w:pos="8647"/>
                                <w:tab w:val="left" w:pos="8789"/>
                                <w:tab w:val="left" w:pos="8931"/>
                              </w:tabs>
                            </w:pPr>
                            <w:r>
                              <w:rPr>
                                <w:rFonts w:hint="eastAsia" w:ascii="华文中宋" w:hAnsi="华文中宋" w:eastAsia="华文中宋"/>
                                <w:color w:val="FF0000"/>
                                <w:sz w:val="44"/>
                                <w:szCs w:val="44"/>
                              </w:rPr>
                              <w:t>————————— ★ —————————</w:t>
                            </w:r>
                          </w:p>
                        </w:txbxContent>
                      </v:textbox>
                    </v:shape>
                  </w:pict>
                </mc:Fallback>
              </mc:AlternateContent>
            </w:r>
            <w:r>
              <w:rPr>
                <w:rFonts w:hint="eastAsia" w:ascii="仿宋_GB2312" w:hAnsi="宋体" w:eastAsia="仿宋_GB2312"/>
                <w:color w:val="000000"/>
                <w:sz w:val="32"/>
                <w:szCs w:val="32"/>
              </w:rPr>
              <w:t>院党发〔</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6</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11</w:t>
            </w:r>
            <w:r>
              <w:rPr>
                <w:rFonts w:hint="eastAsia" w:ascii="仿宋_GB2312" w:eastAsia="仿宋_GB2312"/>
                <w:color w:val="000000"/>
                <w:sz w:val="32"/>
                <w:szCs w:val="32"/>
              </w:rPr>
              <w:t>号</w:t>
            </w:r>
          </w:p>
        </w:tc>
      </w:tr>
    </w:tbl>
    <w:p>
      <w:pPr>
        <w:spacing w:line="700" w:lineRule="exact"/>
        <w:jc w:val="center"/>
        <w:rPr>
          <w:rFonts w:ascii="方正小标宋_GBK" w:eastAsia="方正小标宋_GBK"/>
          <w:b/>
          <w:sz w:val="44"/>
          <w:szCs w:val="44"/>
        </w:rPr>
      </w:pPr>
    </w:p>
    <w:p>
      <w:pPr>
        <w:keepNext w:val="0"/>
        <w:keepLines w:val="0"/>
        <w:pageBreakBefore w:val="0"/>
        <w:widowControl w:val="0"/>
        <w:kinsoku/>
        <w:wordWrap/>
        <w:overflowPunct/>
        <w:topLinePunct w:val="0"/>
        <w:autoSpaceDE/>
        <w:autoSpaceDN/>
        <w:bidi w:val="0"/>
        <w:adjustRightInd/>
        <w:snapToGrid/>
        <w:spacing w:before="625" w:beforeLines="200" w:line="560" w:lineRule="exact"/>
        <w:jc w:val="center"/>
        <w:textAlignment w:val="auto"/>
        <w:rPr>
          <w:rFonts w:hint="eastAsia" w:ascii="方正小标宋简体" w:hAnsi="华文中宋" w:eastAsia="方正小标宋简体"/>
          <w:sz w:val="44"/>
          <w:szCs w:val="44"/>
          <w:lang w:val="en-US" w:eastAsia="zh-CN"/>
        </w:rPr>
      </w:pPr>
      <w:r>
        <w:rPr>
          <w:rFonts w:hint="eastAsia" w:ascii="方正小标宋简体" w:hAnsi="华文中宋" w:eastAsia="方正小标宋简体"/>
          <w:sz w:val="44"/>
          <w:szCs w:val="44"/>
        </w:rPr>
        <w:t>中共北京青年政治学院委员会</w:t>
      </w:r>
      <w:r>
        <w:rPr>
          <w:rFonts w:hint="eastAsia" w:ascii="方正小标宋简体" w:hAnsi="华文中宋" w:eastAsia="方正小标宋简体"/>
          <w:sz w:val="44"/>
          <w:szCs w:val="44"/>
          <w:lang w:val="en-US" w:eastAsia="zh-CN"/>
        </w:rPr>
        <w:t>关于</w:t>
      </w:r>
      <w:r>
        <w:rPr>
          <w:rFonts w:hint="eastAsia" w:ascii="方正小标宋简体" w:hAnsi="华文中宋" w:eastAsia="方正小标宋简体"/>
          <w:sz w:val="44"/>
          <w:szCs w:val="44"/>
        </w:rPr>
        <w:t>印发</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Calibri" w:eastAsia="仿宋_GB2312"/>
          <w:sz w:val="32"/>
          <w:szCs w:val="32"/>
        </w:rPr>
      </w:pPr>
      <w:r>
        <w:rPr>
          <w:rFonts w:ascii="方正小标宋简体" w:hAnsi="华文中宋" w:eastAsia="方正小标宋简体"/>
          <w:b w:val="0"/>
          <w:sz w:val="44"/>
          <w:szCs w:val="44"/>
        </w:rPr>
        <w:t>《</w:t>
      </w:r>
      <w:bookmarkStart w:id="2" w:name="OLE_LINK2"/>
      <w:r>
        <w:rPr>
          <w:rFonts w:hint="eastAsia" w:ascii="方正小标宋简体" w:hAnsi="华文中宋" w:eastAsia="方正小标宋简体"/>
          <w:b w:val="0"/>
          <w:sz w:val="44"/>
          <w:szCs w:val="44"/>
        </w:rPr>
        <w:t>北京青年政治学院巡察工作办法</w:t>
      </w:r>
      <w:bookmarkEnd w:id="2"/>
      <w:r>
        <w:rPr>
          <w:rFonts w:ascii="方正小标宋简体" w:hAnsi="华文中宋" w:eastAsia="方正小标宋简体"/>
          <w:b w:val="0"/>
          <w:sz w:val="44"/>
          <w:szCs w:val="44"/>
        </w:rPr>
        <w:t>》的通知</w:t>
      </w:r>
    </w:p>
    <w:p>
      <w:pPr>
        <w:keepNext w:val="0"/>
        <w:keepLines w:val="0"/>
        <w:pageBreakBefore w:val="0"/>
        <w:widowControl w:val="0"/>
        <w:kinsoku/>
        <w:wordWrap/>
        <w:overflowPunct/>
        <w:topLinePunct w:val="0"/>
        <w:autoSpaceDE/>
        <w:autoSpaceDN/>
        <w:bidi w:val="0"/>
        <w:adjustRightInd/>
        <w:snapToGrid/>
        <w:spacing w:before="313" w:beforeLines="100" w:line="560" w:lineRule="exact"/>
        <w:jc w:val="left"/>
        <w:textAlignment w:val="auto"/>
        <w:rPr>
          <w:rFonts w:ascii="楷体_GB2312" w:hAnsi="宋体" w:eastAsia="楷体_GB2312"/>
          <w:sz w:val="32"/>
          <w:szCs w:val="32"/>
        </w:rPr>
      </w:pPr>
      <w:r>
        <w:rPr>
          <w:rFonts w:hint="eastAsia" w:ascii="楷体_GB2312" w:hAnsi="宋体" w:eastAsia="楷体_GB2312"/>
          <w:sz w:val="32"/>
          <w:szCs w:val="32"/>
        </w:rPr>
        <w:t>各党总支：</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ascii="楷体_GB2312" w:hAnsi="宋体" w:eastAsia="楷体_GB2312"/>
          <w:sz w:val="32"/>
          <w:szCs w:val="32"/>
        </w:rPr>
      </w:pPr>
      <w:r>
        <w:rPr>
          <w:rFonts w:hint="eastAsia" w:ascii="楷体_GB2312" w:hAnsi="宋体" w:eastAsia="楷体_GB2312"/>
          <w:sz w:val="32"/>
          <w:szCs w:val="32"/>
        </w:rPr>
        <w:t>新修订的《北京青年政治学院巡察工作办法》经学院二届党委第</w:t>
      </w:r>
      <w:r>
        <w:rPr>
          <w:rFonts w:hint="eastAsia" w:ascii="楷体_GB2312" w:hAnsi="宋体" w:eastAsia="楷体_GB2312"/>
          <w:sz w:val="32"/>
          <w:szCs w:val="32"/>
          <w:lang w:val="en-US" w:eastAsia="zh-CN"/>
        </w:rPr>
        <w:t>115</w:t>
      </w:r>
      <w:r>
        <w:rPr>
          <w:rFonts w:hint="eastAsia" w:ascii="楷体_GB2312" w:hAnsi="宋体" w:eastAsia="楷体_GB2312"/>
          <w:sz w:val="32"/>
          <w:szCs w:val="32"/>
        </w:rPr>
        <w:t>次常委会会议审议通过，现印发给你们，请认真遵照执行。</w:t>
      </w:r>
    </w:p>
    <w:p>
      <w:pPr>
        <w:keepNext w:val="0"/>
        <w:keepLines w:val="0"/>
        <w:pageBreakBefore w:val="0"/>
        <w:kinsoku/>
        <w:wordWrap/>
        <w:overflowPunct/>
        <w:topLinePunct w:val="0"/>
        <w:autoSpaceDE/>
        <w:autoSpaceDN/>
        <w:bidi w:val="0"/>
        <w:spacing w:line="560" w:lineRule="exact"/>
        <w:ind w:firstLine="4000" w:firstLineChars="1250"/>
        <w:textAlignment w:val="auto"/>
        <w:rPr>
          <w:rFonts w:hint="eastAsia" w:ascii="楷体_GB2312" w:hAnsi="楷体_GB2312" w:eastAsia="楷体_GB2312" w:cs="楷体_GB2312"/>
          <w:sz w:val="32"/>
          <w:szCs w:val="32"/>
        </w:rPr>
      </w:pPr>
    </w:p>
    <w:p>
      <w:pPr>
        <w:keepNext w:val="0"/>
        <w:keepLines w:val="0"/>
        <w:pageBreakBefore w:val="0"/>
        <w:kinsoku/>
        <w:wordWrap/>
        <w:overflowPunct/>
        <w:topLinePunct w:val="0"/>
        <w:autoSpaceDE/>
        <w:autoSpaceDN/>
        <w:bidi w:val="0"/>
        <w:spacing w:line="560" w:lineRule="exact"/>
        <w:textAlignment w:val="auto"/>
        <w:rPr>
          <w:rFonts w:hint="eastAsia" w:ascii="楷体_GB2312" w:hAnsi="楷体_GB2312" w:eastAsia="楷体_GB2312" w:cs="楷体_GB2312"/>
          <w:sz w:val="32"/>
          <w:szCs w:val="32"/>
        </w:rPr>
      </w:pPr>
    </w:p>
    <w:p>
      <w:pPr>
        <w:keepNext w:val="0"/>
        <w:keepLines w:val="0"/>
        <w:pageBreakBefore w:val="0"/>
        <w:kinsoku/>
        <w:wordWrap/>
        <w:overflowPunct/>
        <w:topLinePunct w:val="0"/>
        <w:autoSpaceDE/>
        <w:autoSpaceDN/>
        <w:bidi w:val="0"/>
        <w:spacing w:line="560" w:lineRule="exact"/>
        <w:ind w:firstLine="4160" w:firstLineChars="13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中共北京青年政治学院委员会   </w:t>
      </w:r>
    </w:p>
    <w:p>
      <w:pPr>
        <w:keepNext w:val="0"/>
        <w:keepLines w:val="0"/>
        <w:pageBreakBefore w:val="0"/>
        <w:kinsoku/>
        <w:wordWrap/>
        <w:overflowPunct/>
        <w:topLinePunct w:val="0"/>
        <w:autoSpaceDE/>
        <w:autoSpaceDN/>
        <w:bidi w:val="0"/>
        <w:spacing w:line="560" w:lineRule="exact"/>
        <w:ind w:firstLine="4800" w:firstLineChars="15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202</w:t>
      </w:r>
      <w:r>
        <w:rPr>
          <w:rFonts w:hint="eastAsia" w:ascii="楷体_GB2312" w:hAnsi="楷体_GB2312" w:eastAsia="楷体_GB2312" w:cs="楷体_GB2312"/>
          <w:sz w:val="32"/>
          <w:szCs w:val="32"/>
          <w:lang w:val="en-US" w:eastAsia="zh-CN"/>
        </w:rPr>
        <w:t>6</w:t>
      </w:r>
      <w:r>
        <w:rPr>
          <w:rFonts w:hint="eastAsia" w:ascii="楷体_GB2312" w:hAnsi="楷体_GB2312" w:eastAsia="楷体_GB2312" w:cs="楷体_GB2312"/>
          <w:sz w:val="32"/>
          <w:szCs w:val="32"/>
        </w:rPr>
        <w:t>年</w:t>
      </w:r>
      <w:r>
        <w:rPr>
          <w:rFonts w:hint="eastAsia" w:ascii="楷体_GB2312" w:hAnsi="楷体_GB2312" w:eastAsia="楷体_GB2312" w:cs="楷体_GB2312"/>
          <w:sz w:val="32"/>
          <w:szCs w:val="32"/>
          <w:lang w:val="en-US" w:eastAsia="zh-CN"/>
        </w:rPr>
        <w:t>3</w:t>
      </w:r>
      <w:r>
        <w:rPr>
          <w:rFonts w:hint="eastAsia" w:ascii="楷体_GB2312" w:hAnsi="楷体_GB2312" w:eastAsia="楷体_GB2312" w:cs="楷体_GB2312"/>
          <w:sz w:val="32"/>
          <w:szCs w:val="32"/>
        </w:rPr>
        <w:t>月</w:t>
      </w:r>
      <w:r>
        <w:rPr>
          <w:rFonts w:hint="eastAsia" w:ascii="楷体_GB2312" w:hAnsi="楷体_GB2312" w:eastAsia="楷体_GB2312" w:cs="楷体_GB2312"/>
          <w:sz w:val="32"/>
          <w:szCs w:val="32"/>
          <w:lang w:val="en-US" w:eastAsia="zh-CN"/>
        </w:rPr>
        <w:t>24</w:t>
      </w:r>
      <w:r>
        <w:rPr>
          <w:rFonts w:hint="eastAsia" w:ascii="楷体_GB2312" w:hAnsi="楷体_GB2312" w:eastAsia="楷体_GB2312" w:cs="楷体_GB2312"/>
          <w:sz w:val="32"/>
          <w:szCs w:val="32"/>
        </w:rPr>
        <w:t>日</w:t>
      </w:r>
    </w:p>
    <w:p>
      <w:pPr>
        <w:keepNext w:val="0"/>
        <w:keepLines w:val="0"/>
        <w:pageBreakBefore w:val="0"/>
        <w:kinsoku/>
        <w:wordWrap/>
        <w:overflowPunct/>
        <w:topLinePunct w:val="0"/>
        <w:autoSpaceDE/>
        <w:autoSpaceDN/>
        <w:bidi w:val="0"/>
        <w:adjustRightInd w:val="0"/>
        <w:snapToGrid w:val="0"/>
        <w:spacing w:line="560" w:lineRule="exact"/>
        <w:ind w:left="0" w:leftChars="0"/>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val="0"/>
        <w:snapToGrid w:val="0"/>
        <w:spacing w:line="560" w:lineRule="exact"/>
        <w:ind w:left="0" w:leftChars="0"/>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val="0"/>
        <w:snapToGrid w:val="0"/>
        <w:spacing w:line="560" w:lineRule="exact"/>
        <w:ind w:left="0" w:leftChars="0"/>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北京青年政治学院巡察工作办法</w:t>
      </w:r>
      <w:bookmarkEnd w:id="0"/>
    </w:p>
    <w:p>
      <w:pPr>
        <w:keepNext w:val="0"/>
        <w:keepLines w:val="0"/>
        <w:pageBreakBefore w:val="0"/>
        <w:widowControl w:val="0"/>
        <w:kinsoku/>
        <w:wordWrap/>
        <w:overflowPunct/>
        <w:topLinePunct w:val="0"/>
        <w:autoSpaceDE/>
        <w:autoSpaceDN/>
        <w:bidi w:val="0"/>
        <w:adjustRightInd w:val="0"/>
        <w:snapToGrid w:val="0"/>
        <w:spacing w:before="313" w:beforeLines="100" w:line="560" w:lineRule="exact"/>
        <w:ind w:left="0" w:leftChars="0"/>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（2020年4月28日一届党委2020年第七次</w:t>
      </w:r>
      <w:r>
        <w:rPr>
          <w:rFonts w:hint="eastAsia" w:ascii="楷体_GB2312" w:hAnsi="楷体_GB2312" w:eastAsia="楷体_GB2312" w:cs="楷体_GB2312"/>
          <w:sz w:val="32"/>
          <w:szCs w:val="32"/>
          <w:lang w:eastAsia="zh-CN"/>
        </w:rPr>
        <w:t>常委会会议</w:t>
      </w:r>
      <w:r>
        <w:rPr>
          <w:rFonts w:hint="eastAsia" w:ascii="楷体_GB2312" w:hAnsi="楷体_GB2312" w:eastAsia="楷体_GB2312" w:cs="楷体_GB2312"/>
          <w:sz w:val="32"/>
          <w:szCs w:val="32"/>
        </w:rPr>
        <w:t>通过  2020年5月11日发布</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2023年10月19日二届党委第7次</w:t>
      </w:r>
      <w:r>
        <w:rPr>
          <w:rFonts w:hint="eastAsia" w:ascii="楷体_GB2312" w:hAnsi="楷体_GB2312" w:eastAsia="楷体_GB2312" w:cs="楷体_GB2312"/>
          <w:sz w:val="32"/>
          <w:szCs w:val="32"/>
          <w:lang w:eastAsia="zh-CN"/>
        </w:rPr>
        <w:t>常委会会议第一次</w:t>
      </w:r>
      <w:r>
        <w:rPr>
          <w:rFonts w:hint="eastAsia" w:ascii="楷体_GB2312" w:hAnsi="楷体_GB2312" w:eastAsia="楷体_GB2312" w:cs="楷体_GB2312"/>
          <w:sz w:val="32"/>
          <w:szCs w:val="32"/>
        </w:rPr>
        <w:t>修订</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2023年10月25日发布</w:t>
      </w:r>
      <w:r>
        <w:rPr>
          <w:rFonts w:hint="eastAsia" w:ascii="楷体_GB2312" w:hAnsi="楷体_GB2312" w:eastAsia="楷体_GB2312" w:cs="楷体_GB2312"/>
          <w:sz w:val="32"/>
          <w:szCs w:val="32"/>
          <w:lang w:val="en-US" w:eastAsia="zh-CN"/>
        </w:rPr>
        <w:t xml:space="preserve">  2025年3月20日二届党委第68次常委会会议第二次修订 2025年3月25日发布  2026年3月19日二届党委第115次常委会会议第三次修订  2026年3月24日发布</w:t>
      </w:r>
      <w:r>
        <w:rPr>
          <w:rFonts w:hint="eastAsia" w:ascii="楷体_GB2312" w:hAnsi="楷体_GB2312" w:eastAsia="楷体_GB2312" w:cs="楷体_GB2312"/>
          <w:sz w:val="32"/>
          <w:szCs w:val="32"/>
        </w:rPr>
        <w:t>）</w:t>
      </w:r>
    </w:p>
    <w:p>
      <w:pPr>
        <w:keepNext w:val="0"/>
        <w:keepLines w:val="0"/>
        <w:pageBreakBefore w:val="0"/>
        <w:widowControl/>
        <w:shd w:val="clear" w:color="auto" w:fill="FFFFFF"/>
        <w:kinsoku/>
        <w:wordWrap/>
        <w:overflowPunct/>
        <w:topLinePunct w:val="0"/>
        <w:autoSpaceDE/>
        <w:autoSpaceDN/>
        <w:bidi w:val="0"/>
        <w:adjustRightInd w:val="0"/>
        <w:snapToGrid w:val="0"/>
        <w:spacing w:before="313" w:beforeLines="100" w:line="560" w:lineRule="exact"/>
        <w:ind w:left="0" w:leftChars="0" w:firstLine="420"/>
        <w:jc w:val="center"/>
        <w:textAlignment w:val="auto"/>
        <w:rPr>
          <w:rFonts w:ascii="黑体" w:hAnsi="黑体" w:eastAsia="黑体" w:cs="仿宋_GB2312"/>
          <w:sz w:val="32"/>
          <w:szCs w:val="32"/>
        </w:rPr>
      </w:pPr>
      <w:r>
        <w:rPr>
          <w:rFonts w:hint="eastAsia" w:ascii="黑体" w:hAnsi="黑体" w:eastAsia="黑体" w:cs="仿宋_GB2312"/>
          <w:sz w:val="32"/>
          <w:szCs w:val="32"/>
        </w:rPr>
        <w:t>一、总则</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rPr>
        <w:t xml:space="preserve"> 为加强对巡察工作的领导，根据《中国共产党巡视工作条例》、中共北京市委巡视工作领导小组《关于加强北京市属高校巡察工作的意见》(京巡发</w:t>
      </w:r>
      <w:r>
        <w:rPr>
          <w:rFonts w:hint="eastAsia" w:ascii="仿宋_GB2312" w:hAnsi="仿宋_GB2312" w:eastAsia="仿宋_GB2312" w:cs="仿宋_GB2312"/>
          <w:sz w:val="32"/>
          <w:szCs w:val="32"/>
          <w:lang w:eastAsia="zh-CN"/>
        </w:rPr>
        <w:t>〔2019〕3号</w:t>
      </w:r>
      <w:r>
        <w:rPr>
          <w:rFonts w:hint="eastAsia" w:ascii="仿宋_GB2312" w:hAnsi="仿宋_GB2312" w:eastAsia="仿宋_GB2312" w:cs="仿宋_GB2312"/>
          <w:sz w:val="32"/>
          <w:szCs w:val="32"/>
        </w:rPr>
        <w:t>)等党内法规和有关文件要求，结合学院实际，制定本办法。</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xml:space="preserve"> 巡察工作以习近平新时代中国特色社会主义思想为指导，深入贯彻落实党的二十大</w:t>
      </w:r>
      <w:r>
        <w:rPr>
          <w:rFonts w:hint="eastAsia" w:ascii="仿宋_GB2312" w:hAnsi="仿宋_GB2312" w:eastAsia="仿宋_GB2312" w:cs="仿宋_GB2312"/>
          <w:sz w:val="32"/>
          <w:szCs w:val="32"/>
          <w:lang w:eastAsia="zh-CN"/>
        </w:rPr>
        <w:t>及二十届历次全会</w:t>
      </w:r>
      <w:r>
        <w:rPr>
          <w:rFonts w:hint="eastAsia" w:ascii="仿宋_GB2312" w:hAnsi="仿宋_GB2312" w:eastAsia="仿宋_GB2312" w:cs="仿宋_GB2312"/>
          <w:sz w:val="32"/>
          <w:szCs w:val="32"/>
        </w:rPr>
        <w:t>精神，深刻领悟“两个确立”的决定性意义，增强“四个意识”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坚定“四个自信”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做到“两个维护”。</w:t>
      </w:r>
      <w:r>
        <w:rPr>
          <w:rFonts w:hint="eastAsia" w:ascii="仿宋_GB2312" w:hAnsi="仿宋_GB2312" w:eastAsia="仿宋_GB2312" w:cs="仿宋_GB2312"/>
          <w:sz w:val="32"/>
          <w:szCs w:val="32"/>
          <w:lang w:eastAsia="zh-CN"/>
        </w:rPr>
        <w:t>以党的政治建设为统领，</w:t>
      </w:r>
      <w:r>
        <w:rPr>
          <w:rFonts w:hint="eastAsia" w:ascii="仿宋_GB2312" w:hAnsi="仿宋_GB2312" w:eastAsia="仿宋_GB2312" w:cs="仿宋_GB2312"/>
          <w:sz w:val="32"/>
          <w:szCs w:val="32"/>
        </w:rPr>
        <w:t>坚持政治监督定位，</w:t>
      </w:r>
      <w:r>
        <w:rPr>
          <w:rFonts w:hint="eastAsia" w:ascii="仿宋_GB2312" w:hAnsi="仿宋_GB2312" w:eastAsia="仿宋_GB2312" w:cs="仿宋_GB2312"/>
          <w:sz w:val="32"/>
          <w:szCs w:val="32"/>
          <w:lang w:eastAsia="zh-CN"/>
        </w:rPr>
        <w:t>积极营造风清气正的育人环境和良好政治生态，</w:t>
      </w:r>
      <w:r>
        <w:rPr>
          <w:rFonts w:hint="eastAsia" w:ascii="仿宋_GB2312" w:hAnsi="仿宋_GB2312" w:eastAsia="仿宋_GB2312" w:cs="仿宋_GB2312"/>
          <w:sz w:val="32"/>
          <w:szCs w:val="32"/>
        </w:rPr>
        <w:t>保障和促进学院各项事业健康发展。</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第三条</w:t>
      </w:r>
      <w:r>
        <w:rPr>
          <w:rFonts w:hint="eastAsia" w:ascii="仿宋_GB2312" w:hAnsi="仿宋_GB2312" w:eastAsia="仿宋_GB2312" w:cs="仿宋_GB2312"/>
          <w:sz w:val="32"/>
          <w:szCs w:val="32"/>
        </w:rPr>
        <w:t xml:space="preserve"> 学院党委统一领导巡察工作，坚持“发现问题、形成震慑，推动改革、促进发展”工作方针，坚持围绕中心、服务大局，坚持人民立场、贯彻群众路线，坚持问题导向、发扬斗争精神，坚持实事求是、依规依纪依法。在一届任期内完成对学院所有二级党组织巡察的全覆盖。</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黑体" w:hAnsi="黑体" w:eastAsia="黑体" w:cs="仿宋_GB2312"/>
          <w:sz w:val="32"/>
          <w:szCs w:val="32"/>
        </w:rPr>
      </w:pPr>
      <w:r>
        <w:rPr>
          <w:rFonts w:hint="eastAsia" w:ascii="黑体" w:hAnsi="黑体" w:eastAsia="黑体" w:cs="仿宋_GB2312"/>
          <w:sz w:val="32"/>
          <w:szCs w:val="32"/>
        </w:rPr>
        <w:t>二、组织机构与职责</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color w:val="000000" w:themeColor="text1"/>
          <w:sz w:val="32"/>
          <w:szCs w:val="32"/>
          <w:highlight w:val="yellow"/>
          <w14:textFill>
            <w14:solidFill>
              <w14:schemeClr w14:val="tx1"/>
            </w14:solidFill>
          </w14:textFill>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学院党委成立巡察工作领导小组（以下简称领导小组），向学院党委负责并报告工作。</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领导小组组长由党委书记担任，副组长由</w:t>
      </w:r>
      <w:r>
        <w:rPr>
          <w:rFonts w:hint="eastAsia" w:ascii="仿宋_GB2312" w:hAnsi="Times New Roman" w:eastAsia="仿宋_GB2312"/>
          <w:sz w:val="32"/>
          <w:szCs w:val="32"/>
        </w:rPr>
        <w:t>党员校长、党委副书记、纪委书记担任</w:t>
      </w:r>
      <w:r>
        <w:rPr>
          <w:rFonts w:hint="eastAsia" w:ascii="仿宋_GB2312" w:hAnsi="Times New Roman" w:eastAsia="仿宋_GB2312"/>
          <w:sz w:val="32"/>
          <w:szCs w:val="32"/>
          <w:lang w:eastAsia="zh-CN"/>
        </w:rPr>
        <w:t>，</w:t>
      </w:r>
      <w:r>
        <w:rPr>
          <w:rFonts w:hint="eastAsia" w:ascii="仿宋_GB2312" w:hAnsi="Times New Roman" w:eastAsia="仿宋_GB2312"/>
          <w:sz w:val="32"/>
          <w:szCs w:val="32"/>
        </w:rPr>
        <w:t>成员由党委组织部部长、纪委副书记、巡察工作领导小组办公室主任担任</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学院党委设置巡察办公室（以下简称巡察办），负责巡察工作领导小组的日常工作，承担统筹协调、指导督导、服务保障职责。</w:t>
      </w:r>
      <w:r>
        <w:rPr>
          <w:rFonts w:hint="eastAsia" w:ascii="仿宋_GB2312" w:hAnsi="仿宋_GB2312" w:eastAsia="仿宋_GB2312" w:cs="仿宋_GB2312"/>
          <w:color w:val="000000" w:themeColor="text1"/>
          <w:sz w:val="32"/>
          <w:szCs w:val="32"/>
          <w:highlight w:val="none"/>
          <w14:textFill>
            <w14:solidFill>
              <w14:schemeClr w14:val="tx1"/>
            </w14:solidFill>
          </w14:textFill>
        </w:rPr>
        <w:t>办公室配备工作人员1-2人。</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学院党委设立巡察组，承担具体巡察任务，向巡察工作领导小组负责并报告工作。巡察组按照民主集中制的原则研究讨论决定重大事项。对巡察工作中的重要情况和重大问题要及时向巡察工作领导小组请示报告。组长由巡察工作领导小组根据每次巡察任务确定并授权。</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第五条 </w:t>
      </w:r>
      <w:r>
        <w:rPr>
          <w:rFonts w:hint="eastAsia" w:ascii="仿宋_GB2312" w:hAnsi="仿宋_GB2312" w:eastAsia="仿宋_GB2312" w:cs="仿宋_GB2312"/>
          <w:sz w:val="32"/>
          <w:szCs w:val="32"/>
        </w:rPr>
        <w:t>领导小组工作职责</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（一）贯彻</w:t>
      </w:r>
      <w:r>
        <w:rPr>
          <w:rFonts w:hint="eastAsia" w:ascii="仿宋_GB2312" w:hAnsi="仿宋_GB2312" w:eastAsia="仿宋_GB2312" w:cs="仿宋_GB2312"/>
          <w:sz w:val="32"/>
          <w:szCs w:val="32"/>
          <w:lang w:eastAsia="zh-CN"/>
        </w:rPr>
        <w:t>落实</w:t>
      </w:r>
      <w:r>
        <w:rPr>
          <w:rFonts w:hint="eastAsia" w:ascii="仿宋_GB2312" w:hAnsi="仿宋_GB2312" w:eastAsia="仿宋_GB2312" w:cs="仿宋_GB2312"/>
          <w:sz w:val="32"/>
          <w:szCs w:val="32"/>
        </w:rPr>
        <w:t>中央、上级和学院党委有关决议、决定</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（二）研究</w:t>
      </w:r>
      <w:r>
        <w:rPr>
          <w:rFonts w:hint="eastAsia" w:ascii="仿宋_GB2312" w:hAnsi="仿宋_GB2312" w:eastAsia="仿宋_GB2312" w:cs="仿宋_GB2312"/>
          <w:sz w:val="32"/>
          <w:szCs w:val="32"/>
          <w:lang w:eastAsia="zh-CN"/>
        </w:rPr>
        <w:t>提出</w:t>
      </w:r>
      <w:r>
        <w:rPr>
          <w:rFonts w:hint="eastAsia" w:ascii="仿宋_GB2312" w:hAnsi="仿宋_GB2312" w:eastAsia="仿宋_GB2312" w:cs="仿宋_GB2312"/>
          <w:sz w:val="32"/>
          <w:szCs w:val="32"/>
        </w:rPr>
        <w:t>巡察工作制度、巡察规划、年度计划</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每轮巡察工作方案，</w:t>
      </w:r>
      <w:r>
        <w:rPr>
          <w:rFonts w:hint="eastAsia" w:ascii="仿宋_GB2312" w:hAnsi="仿宋_GB2312" w:eastAsia="仿宋_GB2312" w:cs="仿宋_GB2312"/>
          <w:sz w:val="32"/>
          <w:szCs w:val="32"/>
          <w:lang w:eastAsia="zh-CN"/>
        </w:rPr>
        <w:t>组织实施巡察全覆盖。</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（三）推进巡察干部队伍建设，对巡察组进行管理和监督</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（四）听取巡察办公室和巡察组工作汇报</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（五）督促推动有关责任主体落实巡察整改和成果运用</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（六）推动巡察监督与其他监督贯通协调</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（七）向学院党委报告巡察工作情况</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（八）研究处理巡察工作中的</w:t>
      </w:r>
      <w:r>
        <w:rPr>
          <w:rFonts w:hint="eastAsia" w:ascii="仿宋_GB2312" w:hAnsi="仿宋_GB2312" w:eastAsia="仿宋_GB2312" w:cs="仿宋_GB2312"/>
          <w:sz w:val="32"/>
          <w:szCs w:val="32"/>
          <w:lang w:eastAsia="zh-CN"/>
        </w:rPr>
        <w:t>其他</w:t>
      </w:r>
      <w:r>
        <w:rPr>
          <w:rFonts w:hint="eastAsia" w:ascii="仿宋_GB2312" w:hAnsi="仿宋_GB2312" w:eastAsia="仿宋_GB2312" w:cs="仿宋_GB2312"/>
          <w:sz w:val="32"/>
          <w:szCs w:val="32"/>
        </w:rPr>
        <w:t>重要事项。</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第六条 </w:t>
      </w:r>
      <w:r>
        <w:rPr>
          <w:rFonts w:hint="eastAsia" w:ascii="仿宋_GB2312" w:hAnsi="仿宋_GB2312" w:eastAsia="仿宋_GB2312" w:cs="仿宋_GB2312"/>
          <w:sz w:val="32"/>
          <w:szCs w:val="32"/>
        </w:rPr>
        <w:t>巡察办主要职责</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（一）向学院巡察工作领导小组报告工作情况，传达贯彻领导小组的部署和要求</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（二）承担与巡察相关的政策研究、综合协调、制度建设、服务保障等工作</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（三）制定巡察工作制度、拟定年度巡察工作计划、每轮巡察工作方案，报领导小组审定</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（四）协调有关单位协助、支持巡察工作，推动巡察监督与其他监督贯通协调</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（五）根据巡察工作需要，统筹、指导、协调巡察组开展工作</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（六）配合有关部门加强对巡察干部的教育、培训、考核、管理和监督。</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）对学院党委、巡察工作领导小组决定的有关事项进行督办</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（八）负责巡察整改和成果运用的统筹协调、跟踪督促、汇总报告。</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）承担学院党委和巡察工作领导小组交办的</w:t>
      </w:r>
      <w:r>
        <w:rPr>
          <w:rFonts w:hint="eastAsia" w:ascii="仿宋_GB2312" w:hAnsi="仿宋_GB2312" w:eastAsia="仿宋_GB2312" w:cs="仿宋_GB2312"/>
          <w:sz w:val="32"/>
          <w:szCs w:val="32"/>
          <w:lang w:eastAsia="zh-CN"/>
        </w:rPr>
        <w:t>其他</w:t>
      </w:r>
      <w:r>
        <w:rPr>
          <w:rFonts w:hint="eastAsia" w:ascii="仿宋_GB2312" w:hAnsi="仿宋_GB2312" w:eastAsia="仿宋_GB2312" w:cs="仿宋_GB2312"/>
          <w:sz w:val="32"/>
          <w:szCs w:val="32"/>
        </w:rPr>
        <w:t>事项。</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第七条 </w:t>
      </w:r>
      <w:r>
        <w:rPr>
          <w:rFonts w:hint="eastAsia" w:ascii="仿宋_GB2312" w:hAnsi="仿宋_GB2312" w:eastAsia="仿宋_GB2312" w:cs="仿宋_GB2312"/>
          <w:sz w:val="32"/>
          <w:szCs w:val="32"/>
        </w:rPr>
        <w:t>巡察组主要职责</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（一）按照学院党委巡察工作部署，深入被巡察单位，落实巡察要求，采取多种方式，全面、客观、真实地了解情况。</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（二）巡察结束后，分析汇总巡察情况，撰写巡察报告，并针对问题提出整改建议。</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（三）向巡察工作领导小组汇报巡察情况，</w:t>
      </w:r>
      <w:r>
        <w:rPr>
          <w:rFonts w:hint="eastAsia" w:ascii="仿宋_GB2312" w:hAnsi="仿宋_GB2312" w:eastAsia="仿宋_GB2312" w:cs="仿宋_GB2312"/>
          <w:sz w:val="32"/>
          <w:szCs w:val="32"/>
          <w:lang w:eastAsia="zh-CN"/>
        </w:rPr>
        <w:t>提出意见建议。</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（四）向被巡察单位反馈巡察意见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根据工作需要，向</w:t>
      </w:r>
      <w:r>
        <w:rPr>
          <w:rFonts w:hint="eastAsia" w:ascii="仿宋_GB2312" w:hAnsi="仿宋_GB2312" w:eastAsia="仿宋_GB2312" w:cs="仿宋_GB2312"/>
          <w:sz w:val="32"/>
          <w:szCs w:val="32"/>
          <w:lang w:eastAsia="zh-CN"/>
        </w:rPr>
        <w:t>纪检监察</w:t>
      </w:r>
      <w:r>
        <w:rPr>
          <w:rFonts w:hint="eastAsia" w:ascii="仿宋_GB2312" w:hAnsi="仿宋_GB2312" w:eastAsia="仿宋_GB2312" w:cs="仿宋_GB2312"/>
          <w:sz w:val="32"/>
          <w:szCs w:val="32"/>
        </w:rPr>
        <w:t>办公室</w:t>
      </w:r>
      <w:r>
        <w:rPr>
          <w:rFonts w:hint="eastAsia" w:ascii="仿宋_GB2312" w:hAnsi="仿宋_GB2312" w:eastAsia="仿宋_GB2312" w:cs="仿宋_GB2312"/>
          <w:sz w:val="32"/>
          <w:szCs w:val="32"/>
          <w:lang w:eastAsia="zh-CN"/>
        </w:rPr>
        <w:t>、组织部门和有关单位</w:t>
      </w:r>
      <w:r>
        <w:rPr>
          <w:rFonts w:hint="eastAsia" w:ascii="仿宋_GB2312" w:hAnsi="仿宋_GB2312" w:eastAsia="仿宋_GB2312" w:cs="仿宋_GB2312"/>
          <w:sz w:val="32"/>
          <w:szCs w:val="32"/>
        </w:rPr>
        <w:t>移交</w:t>
      </w:r>
      <w:r>
        <w:rPr>
          <w:rFonts w:hint="eastAsia" w:ascii="仿宋_GB2312" w:hAnsi="仿宋_GB2312" w:eastAsia="仿宋_GB2312" w:cs="仿宋_GB2312"/>
          <w:sz w:val="32"/>
          <w:szCs w:val="32"/>
          <w:lang w:eastAsia="zh-CN"/>
        </w:rPr>
        <w:t>巡察发现的问题和</w:t>
      </w:r>
      <w:r>
        <w:rPr>
          <w:rFonts w:hint="eastAsia" w:ascii="仿宋_GB2312" w:hAnsi="仿宋_GB2312" w:eastAsia="仿宋_GB2312" w:cs="仿宋_GB2312"/>
          <w:sz w:val="32"/>
          <w:szCs w:val="32"/>
        </w:rPr>
        <w:t>问题线索</w:t>
      </w:r>
      <w:r>
        <w:rPr>
          <w:rFonts w:hint="eastAsia" w:ascii="仿宋_GB2312" w:hAnsi="仿宋_GB2312" w:eastAsia="仿宋_GB2312" w:cs="仿宋_GB2312"/>
          <w:sz w:val="32"/>
          <w:szCs w:val="32"/>
          <w:lang w:eastAsia="zh-CN"/>
        </w:rPr>
        <w:t>，参与推动巡察整改和成果运用。</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eastAsia="zh-CN"/>
        </w:rPr>
        <w:t>对巡察组干部进行日常教育、管理和监督。</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（六）承担领导小组交办的</w:t>
      </w:r>
      <w:r>
        <w:rPr>
          <w:rFonts w:hint="eastAsia" w:ascii="仿宋_GB2312" w:hAnsi="仿宋_GB2312" w:eastAsia="仿宋_GB2312" w:cs="仿宋_GB2312"/>
          <w:sz w:val="32"/>
          <w:szCs w:val="32"/>
          <w:lang w:eastAsia="zh-CN"/>
        </w:rPr>
        <w:t>其他</w:t>
      </w:r>
      <w:r>
        <w:rPr>
          <w:rFonts w:hint="eastAsia" w:ascii="仿宋_GB2312" w:hAnsi="仿宋_GB2312" w:eastAsia="仿宋_GB2312" w:cs="仿宋_GB2312"/>
          <w:sz w:val="32"/>
          <w:szCs w:val="32"/>
        </w:rPr>
        <w:t>工作。</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领导小组各成员单位及其他相关单位协助巡察办开展巡察工作，协助做好人员选派、情况通报、政策咨询、问题研判、整改监督、成果运用等工作。</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黑体" w:hAnsi="黑体" w:eastAsia="黑体" w:cs="仿宋_GB2312"/>
          <w:sz w:val="32"/>
          <w:szCs w:val="32"/>
        </w:rPr>
      </w:pPr>
      <w:r>
        <w:rPr>
          <w:rFonts w:hint="eastAsia" w:ascii="黑体" w:hAnsi="黑体" w:eastAsia="黑体" w:cs="仿宋_GB2312"/>
          <w:sz w:val="32"/>
          <w:szCs w:val="32"/>
        </w:rPr>
        <w:t>三、巡察对象和内容</w:t>
      </w:r>
    </w:p>
    <w:p>
      <w:pPr>
        <w:keepNext w:val="0"/>
        <w:keepLines w:val="0"/>
        <w:pageBreakBefore w:val="0"/>
        <w:kinsoku/>
        <w:wordWrap/>
        <w:overflowPunct/>
        <w:topLinePunct w:val="0"/>
        <w:autoSpaceDE/>
        <w:autoSpaceDN/>
        <w:bidi w:val="0"/>
        <w:adjustRightInd w:val="0"/>
        <w:snapToGrid w:val="0"/>
        <w:spacing w:line="560" w:lineRule="exact"/>
        <w:ind w:firstLine="643"/>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第九条 </w:t>
      </w:r>
      <w:r>
        <w:rPr>
          <w:rFonts w:hint="eastAsia" w:ascii="仿宋_GB2312" w:hAnsi="仿宋_GB2312" w:eastAsia="仿宋_GB2312" w:cs="仿宋_GB2312"/>
          <w:sz w:val="32"/>
          <w:szCs w:val="32"/>
        </w:rPr>
        <w:t xml:space="preserve">巡察对象主要包括： </w:t>
      </w:r>
    </w:p>
    <w:p>
      <w:pPr>
        <w:keepNext w:val="0"/>
        <w:keepLines w:val="0"/>
        <w:pageBreakBefore w:val="0"/>
        <w:kinsoku/>
        <w:wordWrap/>
        <w:overflowPunct/>
        <w:topLinePunct w:val="0"/>
        <w:autoSpaceDE/>
        <w:autoSpaceDN/>
        <w:bidi w:val="0"/>
        <w:adjustRightInd w:val="0"/>
        <w:snapToGrid w:val="0"/>
        <w:spacing w:line="560" w:lineRule="exact"/>
        <w:ind w:firstLine="643"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（一）学院二级党组织</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（二）学院党委要求巡察的其他党组织</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trike/>
          <w:sz w:val="32"/>
          <w:szCs w:val="32"/>
        </w:rPr>
      </w:pPr>
      <w:r>
        <w:rPr>
          <w:rFonts w:hint="eastAsia" w:ascii="仿宋_GB2312" w:hAnsi="仿宋_GB2312" w:eastAsia="仿宋_GB2312" w:cs="仿宋_GB2312"/>
          <w:b/>
          <w:bCs/>
          <w:sz w:val="32"/>
          <w:szCs w:val="32"/>
        </w:rPr>
        <w:t>第十条</w:t>
      </w:r>
      <w:r>
        <w:rPr>
          <w:rFonts w:hint="eastAsia" w:ascii="仿宋_GB2312" w:hAnsi="仿宋_GB2312" w:eastAsia="仿宋_GB2312" w:cs="仿宋_GB2312"/>
          <w:sz w:val="32"/>
          <w:szCs w:val="32"/>
        </w:rPr>
        <w:t xml:space="preserve"> 巡察工作把“两个维护”作为根本政治任务，突出政治巡察，坚持问题导向，从政治层面分析业务问题，从业务问题查找政治偏差，重点检查以下情况：</w:t>
      </w:r>
    </w:p>
    <w:p>
      <w:pPr>
        <w:pStyle w:val="6"/>
        <w:keepNext w:val="0"/>
        <w:keepLines w:val="0"/>
        <w:pageBreakBefore w:val="0"/>
        <w:kinsoku/>
        <w:wordWrap/>
        <w:overflowPunct/>
        <w:topLinePunct w:val="0"/>
        <w:autoSpaceDE/>
        <w:autoSpaceDN/>
        <w:bidi w:val="0"/>
        <w:adjustRightInd w:val="0"/>
        <w:snapToGrid w:val="0"/>
        <w:spacing w:line="560" w:lineRule="exact"/>
        <w:ind w:left="0" w:leftChars="0"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（一）聚焦贯彻落实党的路线方针政策和党中央决策部署情况。重点检查贯彻习近平总书记重要讲话和重要指示批示情况，执行党章和其他党内法规、履行职能责任的情况，落实意识形态工作责任制的情况。</w:t>
      </w:r>
    </w:p>
    <w:p>
      <w:pPr>
        <w:pStyle w:val="6"/>
        <w:keepNext w:val="0"/>
        <w:keepLines w:val="0"/>
        <w:pageBreakBefore w:val="0"/>
        <w:kinsoku/>
        <w:wordWrap/>
        <w:overflowPunct/>
        <w:topLinePunct w:val="0"/>
        <w:autoSpaceDE/>
        <w:autoSpaceDN/>
        <w:bidi w:val="0"/>
        <w:adjustRightInd w:val="0"/>
        <w:snapToGrid w:val="0"/>
        <w:spacing w:line="560" w:lineRule="exact"/>
        <w:ind w:left="0" w:leftChars="0"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聚焦群众身边不正之风和腐败问题情况。重点检查落实全面从严治党主体责任和监督责任、推进党风廉政建设和反腐败斗争的情况，领导干部树立和践行正确政绩观、加强作风建设、落实中央八项规定及其实施细则精神、廉洁自律的情况。</w:t>
      </w:r>
    </w:p>
    <w:p>
      <w:pPr>
        <w:pStyle w:val="6"/>
        <w:keepNext w:val="0"/>
        <w:keepLines w:val="0"/>
        <w:pageBreakBefore w:val="0"/>
        <w:kinsoku/>
        <w:wordWrap/>
        <w:overflowPunct/>
        <w:topLinePunct w:val="0"/>
        <w:autoSpaceDE/>
        <w:autoSpaceDN/>
        <w:bidi w:val="0"/>
        <w:adjustRightInd w:val="0"/>
        <w:snapToGrid w:val="0"/>
        <w:spacing w:line="560" w:lineRule="exact"/>
        <w:ind w:left="0" w:leftChars="0"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（三）聚焦检查落实新时代党的组织路线，贯彻执行民主集中制，加强领导班子和干部人才队伍建设、基层党组织和党员队伍建设情况。</w:t>
      </w:r>
    </w:p>
    <w:p>
      <w:pPr>
        <w:pStyle w:val="6"/>
        <w:keepNext w:val="0"/>
        <w:keepLines w:val="0"/>
        <w:pageBreakBefore w:val="0"/>
        <w:kinsoku/>
        <w:wordWrap/>
        <w:overflowPunct/>
        <w:topLinePunct w:val="0"/>
        <w:autoSpaceDE/>
        <w:autoSpaceDN/>
        <w:bidi w:val="0"/>
        <w:adjustRightInd w:val="0"/>
        <w:snapToGrid w:val="0"/>
        <w:spacing w:line="560" w:lineRule="exact"/>
        <w:ind w:left="0" w:leftChars="0"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（四）聚焦巡视巡察监督以及审计、财会等其他监督发现问题整改、成果运用情况。</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）学院党委要求了解的</w:t>
      </w:r>
      <w:r>
        <w:rPr>
          <w:rFonts w:hint="eastAsia" w:ascii="仿宋_GB2312" w:hAnsi="仿宋_GB2312" w:eastAsia="仿宋_GB2312" w:cs="仿宋_GB2312"/>
          <w:sz w:val="32"/>
          <w:szCs w:val="32"/>
          <w:lang w:eastAsia="zh-CN"/>
        </w:rPr>
        <w:t>其他</w:t>
      </w:r>
      <w:r>
        <w:rPr>
          <w:rFonts w:hint="eastAsia" w:ascii="仿宋_GB2312" w:hAnsi="仿宋_GB2312" w:eastAsia="仿宋_GB2312" w:cs="仿宋_GB2312"/>
          <w:sz w:val="32"/>
          <w:szCs w:val="32"/>
        </w:rPr>
        <w:t>问题。</w:t>
      </w:r>
    </w:p>
    <w:p>
      <w:pPr>
        <w:keepNext w:val="0"/>
        <w:keepLines w:val="0"/>
        <w:pageBreakBefore w:val="0"/>
        <w:kinsoku/>
        <w:wordWrap/>
        <w:overflowPunct/>
        <w:topLinePunct w:val="0"/>
        <w:autoSpaceDE/>
        <w:autoSpaceDN/>
        <w:bidi w:val="0"/>
        <w:adjustRightInd w:val="0"/>
        <w:snapToGrid w:val="0"/>
        <w:spacing w:line="560" w:lineRule="exact"/>
        <w:ind w:firstLine="643"/>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第十一条 </w:t>
      </w:r>
      <w:r>
        <w:rPr>
          <w:rFonts w:hint="eastAsia" w:ascii="仿宋_GB2312" w:hAnsi="仿宋_GB2312" w:eastAsia="仿宋_GB2312" w:cs="仿宋_GB2312"/>
          <w:b w:val="0"/>
          <w:bCs w:val="0"/>
          <w:sz w:val="32"/>
          <w:szCs w:val="32"/>
        </w:rPr>
        <w:t>加强对被巡察党组织主要负责人的监督，重点检查其对党忠诚、履行全面从严治党责任、依规依法履职用权、担当作为、廉洁自律等情况，对反映的重要问题进行深入了解，形成</w:t>
      </w:r>
      <w:r>
        <w:rPr>
          <w:rFonts w:hint="eastAsia" w:ascii="仿宋_GB2312" w:hAnsi="仿宋_GB2312" w:eastAsia="仿宋_GB2312" w:cs="仿宋_GB2312"/>
          <w:sz w:val="32"/>
          <w:szCs w:val="32"/>
        </w:rPr>
        <w:t>“一把手”</w:t>
      </w:r>
      <w:r>
        <w:rPr>
          <w:rFonts w:hint="eastAsia" w:ascii="仿宋_GB2312" w:hAnsi="仿宋_GB2312" w:eastAsia="仿宋_GB2312" w:cs="仿宋_GB2312"/>
          <w:b w:val="0"/>
          <w:bCs w:val="0"/>
          <w:sz w:val="32"/>
          <w:szCs w:val="32"/>
        </w:rPr>
        <w:t>专题材料。</w:t>
      </w:r>
    </w:p>
    <w:p>
      <w:pPr>
        <w:pStyle w:val="6"/>
        <w:keepNext w:val="0"/>
        <w:keepLines w:val="0"/>
        <w:pageBreakBefore w:val="0"/>
        <w:kinsoku/>
        <w:wordWrap/>
        <w:overflowPunct/>
        <w:topLinePunct w:val="0"/>
        <w:autoSpaceDE/>
        <w:autoSpaceDN/>
        <w:bidi w:val="0"/>
        <w:adjustRightInd w:val="0"/>
        <w:snapToGrid w:val="0"/>
        <w:spacing w:line="560" w:lineRule="exact"/>
        <w:ind w:left="0" w:leftChars="0" w:firstLine="640"/>
        <w:textAlignment w:val="auto"/>
        <w:rPr>
          <w:rFonts w:hint="eastAsia" w:eastAsia="宋体"/>
        </w:rPr>
      </w:pPr>
      <w:r>
        <w:rPr>
          <w:rFonts w:hint="eastAsia" w:ascii="仿宋_GB2312" w:hAnsi="仿宋_GB2312" w:eastAsia="仿宋_GB2312" w:cs="仿宋_GB2312"/>
          <w:b/>
          <w:bCs/>
          <w:sz w:val="32"/>
          <w:szCs w:val="32"/>
          <w:lang w:eastAsia="zh-CN"/>
        </w:rPr>
        <w:t>第十二条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被</w:t>
      </w:r>
      <w:r>
        <w:rPr>
          <w:rFonts w:hint="eastAsia" w:ascii="仿宋_GB2312" w:hAnsi="仿宋_GB2312" w:eastAsia="仿宋_GB2312" w:cs="仿宋_GB2312"/>
          <w:sz w:val="32"/>
          <w:szCs w:val="32"/>
          <w:lang w:eastAsia="zh-CN"/>
        </w:rPr>
        <w:t>巡察</w:t>
      </w:r>
      <w:r>
        <w:rPr>
          <w:rFonts w:hint="eastAsia" w:ascii="仿宋_GB2312" w:hAnsi="仿宋_GB2312" w:eastAsia="仿宋_GB2312" w:cs="仿宋_GB2312"/>
          <w:sz w:val="32"/>
          <w:szCs w:val="32"/>
        </w:rPr>
        <w:t>党组织</w:t>
      </w:r>
      <w:r>
        <w:rPr>
          <w:rFonts w:hint="eastAsia" w:ascii="仿宋_GB2312" w:hAnsi="仿宋_GB2312" w:eastAsia="仿宋_GB2312" w:cs="仿宋_GB2312"/>
          <w:sz w:val="32"/>
          <w:szCs w:val="32"/>
          <w:lang w:eastAsia="zh-CN"/>
        </w:rPr>
        <w:t>领导班子</w:t>
      </w:r>
      <w:r>
        <w:rPr>
          <w:rFonts w:hint="eastAsia" w:ascii="仿宋_GB2312" w:hAnsi="仿宋_GB2312" w:eastAsia="仿宋_GB2312" w:cs="仿宋_GB2312"/>
          <w:sz w:val="32"/>
          <w:szCs w:val="32"/>
        </w:rPr>
        <w:t>及其成员应自觉接受巡察监督，积极配合巡察工作。党员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干部有义务向巡察组如实反映情况。</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楷体" w:hAnsi="楷体" w:eastAsia="楷体" w:cs="楷体"/>
          <w:sz w:val="32"/>
          <w:szCs w:val="32"/>
        </w:rPr>
      </w:pPr>
      <w:r>
        <w:rPr>
          <w:rFonts w:hint="eastAsia" w:ascii="黑体" w:hAnsi="黑体" w:eastAsia="黑体" w:cs="黑体"/>
          <w:sz w:val="32"/>
          <w:szCs w:val="32"/>
        </w:rPr>
        <w:t>四、巡察工作方式</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学院党委综合运用常规巡察、专项巡察、机动巡察、巡察“回头看”等方式组织开展巡察工作。巡察组视情况采取如下方法开展具体巡察工作：</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（一）听取汇报。听取被巡察单位党政领导班子专题汇报，了解查看被巡察单位近三年以来的主要工作情况。</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（二）个别谈话。与被巡察单位党政领导班子成员及师生员工进行个别谈话。</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（三）受理信访。受理巡察期间反映被巡察单位的领导班子及其成员以及其他相关人员问题的来信来电来访等。</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（四）召开座谈会。召开被巡察单位干部群众、退休干部、民主党派代表、学生代表以及职能部门和服务对象代表等座谈会征求意见。</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（五）列席会议。巡察期间，列席被巡察单位的有关会议。</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（六）查阅资料。调阅近三年以来有关会议记录、文件、账目凭证等纸质和电子资料。</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（七）测评和调查。发放调查问卷，对被巡察单位领导干部进行民主测评。同时在二级学院、相关部门、师生员工中开展满意度调查，广泛征求服务对象的意见建议。</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（八）抽查核实。通过党委组织部抽查核实领导干部报告个人有关事项的情况，通过纪检监察办公室抽查领导干部廉政档案。</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（九）进行询问。向有关知情人询问相关情况。</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（十）深入了解。下沉调研了解情况</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（十一）专项检查。开展基层组织建设、意识形态、保密等专项检查。</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（十二）部门协助。对巡察中发现的问题以及问题整改情况，提请相关部门予以协助。</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（十三）学院党委批准的其他方式。</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黑体" w:hAnsi="黑体" w:eastAsia="黑体" w:cs="仿宋_GB2312"/>
          <w:sz w:val="32"/>
          <w:szCs w:val="32"/>
        </w:rPr>
      </w:pPr>
      <w:r>
        <w:rPr>
          <w:rFonts w:hint="eastAsia" w:ascii="黑体" w:hAnsi="黑体" w:eastAsia="黑体" w:cs="仿宋_GB2312"/>
          <w:sz w:val="32"/>
          <w:szCs w:val="32"/>
        </w:rPr>
        <w:t>五、巡察工作程序</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巡察准备</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（一）巡察办研究制定具体的巡察工作方案，报巡察工作领导小组审核、学院党委常委会审定。巡察办在巡察组进驻前印发巡察通知。</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（二）巡察办组织召开学院巡察动员部署会议，巡察工作领导小组全面部署巡察工作任务，向巡察组、被巡察单位、巡察工作领导小组成员单位提出工作要求。</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（三）巡察组在巡察进驻前，应根据工作需要向纪检监察、组织、审计、宣传、人事、财务、教务、科研等部门了解被巡察党组织领导班子及其成员的有关情况。</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巡察进驻</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（一）巡察组进驻巡察时间一般为一个月。根据被巡察单位规模和工作需要，可适当增加或缩减。</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巡察组进驻被巡察单位时，应召开被巡察单位巡察动员大会，通报巡察目的和任务，公开巡察组联系方式和情况反映信箱位置，张贴巡察公告，组织民主测评或问卷调查，进行政治测试。进驻后，应按照规定的工作方式，开展巡察工作。</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六</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巡察报告</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（一）进驻巡察结束后，巡察</w:t>
      </w:r>
      <w:r>
        <w:rPr>
          <w:rFonts w:hint="eastAsia" w:ascii="仿宋_GB2312" w:hAnsi="仿宋_GB2312" w:eastAsia="仿宋_GB2312" w:cs="仿宋_GB2312"/>
          <w:sz w:val="32"/>
          <w:szCs w:val="32"/>
          <w:highlight w:val="none"/>
        </w:rPr>
        <w:t>组应在一个月内形成</w:t>
      </w:r>
      <w:r>
        <w:rPr>
          <w:rFonts w:hint="eastAsia" w:ascii="仿宋_GB2312" w:hAnsi="仿宋_GB2312" w:eastAsia="仿宋_GB2312" w:cs="仿宋_GB2312"/>
          <w:sz w:val="32"/>
          <w:szCs w:val="32"/>
        </w:rPr>
        <w:t>巡察报告，建立巡察问题清单，如实报告巡察发现的重要情况和问题，并提交巡察报告问题底稿，同时提出处理意见建议。</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（二）学院巡察工作领导小组应当及时听取巡察组的巡察工作情况汇报，研究提出处理意见，报学院党委决定。</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巡察反馈</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经学院党委研究同意后，巡察组应当及时向被巡察单位党政领导班子及其主要负责人反馈相关巡察情况，指出问题，有针对性地提出整改意见。被巡察单位的巡察情况在一定范围内公示。</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八</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线索移交</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（一）对巡察发现的问题和线索，巡察组会同巡察办提出分类处置意见，报经巡察工作领导小组审核、学院党委审批后，依照干部管理权限和职责分工进行移交。</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线索移交按下列途径进行：对领导干部及其他相关人员涉嫌违纪的线索和作风方面的突出问题，移交纪检监察办公室；对执行民主集中制、干部选拔任用等方面存在的问题，移交党委组织部；其他问题移交相关部门。</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九</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档案整理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pPr>
      <w:r>
        <w:rPr>
          <w:rFonts w:hint="eastAsia" w:ascii="仿宋_GB2312" w:hAnsi="仿宋_GB2312" w:eastAsia="仿宋_GB2312" w:cs="仿宋_GB2312"/>
          <w:sz w:val="32"/>
          <w:szCs w:val="32"/>
        </w:rPr>
        <w:t>巡察组应当如实记录谈话对象和谈话内容，及时汇总整理巡察材料，巡察过程中形成的档案资料在巡察结束后一个月内向巡察办移交。</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黑体" w:hAnsi="黑体" w:eastAsia="黑体" w:cs="仿宋_GB2312"/>
          <w:sz w:val="32"/>
          <w:szCs w:val="32"/>
        </w:rPr>
      </w:pPr>
      <w:r>
        <w:rPr>
          <w:rFonts w:hint="eastAsia" w:ascii="黑体" w:hAnsi="黑体" w:eastAsia="黑体" w:cs="仿宋_GB2312"/>
          <w:sz w:val="32"/>
          <w:szCs w:val="32"/>
          <w:lang w:eastAsia="zh-CN"/>
        </w:rPr>
        <w:t>六、</w:t>
      </w:r>
      <w:r>
        <w:rPr>
          <w:rFonts w:hint="eastAsia" w:ascii="黑体" w:hAnsi="黑体" w:eastAsia="黑体" w:cs="仿宋_GB2312"/>
          <w:sz w:val="32"/>
          <w:szCs w:val="32"/>
        </w:rPr>
        <w:t>巡察整改与成果运用</w:t>
      </w:r>
    </w:p>
    <w:p>
      <w:pPr>
        <w:keepNext w:val="0"/>
        <w:keepLines w:val="0"/>
        <w:pageBreakBefore w:val="0"/>
        <w:numPr>
          <w:ilvl w:val="-1"/>
          <w:numId w:val="0"/>
        </w:numPr>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二十</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被巡察党组织承担巡察整改主体责任，</w:t>
      </w:r>
      <w:r>
        <w:rPr>
          <w:rFonts w:hint="eastAsia" w:ascii="仿宋_GB2312" w:hAnsi="仿宋_GB2312" w:eastAsia="仿宋_GB2312" w:cs="仿宋_GB2312"/>
          <w:sz w:val="32"/>
          <w:szCs w:val="32"/>
          <w:lang w:eastAsia="zh-CN"/>
        </w:rPr>
        <w:t>应当把整改作为履行管党治党责任、推动高质量发展的重要抓手，融入日常工作、融入深化改革、融入全面从严治党、融入领导班子和干部队伍建设。</w:t>
      </w:r>
      <w:r>
        <w:rPr>
          <w:rFonts w:hint="eastAsia" w:ascii="仿宋_GB2312" w:hAnsi="仿宋_GB2312" w:eastAsia="仿宋_GB2312" w:cs="仿宋_GB2312"/>
          <w:sz w:val="32"/>
          <w:szCs w:val="32"/>
        </w:rPr>
        <w:t>党组织主要负责人为落实巡察整改工作的第一责任人，领导班子其他成员承担“一岗双责”。</w:t>
      </w:r>
      <w:r>
        <w:rPr>
          <w:rFonts w:hint="eastAsia" w:ascii="仿宋_GB2312" w:hAnsi="仿宋_GB2312" w:eastAsia="仿宋_GB2312" w:cs="仿宋_GB2312"/>
          <w:sz w:val="32"/>
          <w:szCs w:val="32"/>
          <w:lang w:eastAsia="zh-CN"/>
        </w:rPr>
        <w:t>党组织主要负责人和领导班子其他成员有调整的，应当做好巡察整改交接工作，持续落实整改责任。</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default" w:ascii="黑体" w:hAnsi="黑体" w:eastAsia="黑体" w:cs="仿宋_GB2312"/>
          <w:sz w:val="32"/>
          <w:szCs w:val="32"/>
          <w:lang w:eastAsia="zh-CN"/>
        </w:rPr>
      </w:pPr>
      <w:r>
        <w:rPr>
          <w:rFonts w:hint="eastAsia" w:ascii="黑体" w:hAnsi="黑体" w:eastAsia="黑体" w:cs="仿宋_GB2312"/>
          <w:sz w:val="32"/>
          <w:szCs w:val="32"/>
          <w:lang w:eastAsia="zh-CN"/>
        </w:rPr>
        <w:t>第二十一条</w:t>
      </w:r>
      <w:r>
        <w:rPr>
          <w:rFonts w:hint="eastAsia" w:ascii="黑体" w:hAnsi="黑体" w:eastAsia="黑体" w:cs="仿宋_GB2312"/>
          <w:sz w:val="32"/>
          <w:szCs w:val="32"/>
          <w:lang w:val="en-US" w:eastAsia="zh-CN"/>
        </w:rPr>
        <w:t xml:space="preserve"> </w:t>
      </w:r>
      <w:r>
        <w:rPr>
          <w:rFonts w:hint="eastAsia" w:ascii="仿宋_GB2312" w:hAnsi="仿宋_GB2312" w:eastAsia="仿宋_GB2312" w:cs="仿宋_GB2312"/>
          <w:sz w:val="32"/>
          <w:szCs w:val="32"/>
          <w:lang w:val="en-US" w:eastAsia="zh-CN"/>
        </w:rPr>
        <w:t>被巡察党组织应当自收到巡察反馈意见之日起，组织开展为期6个月的集中整改：</w:t>
      </w:r>
    </w:p>
    <w:p>
      <w:pPr>
        <w:keepNext w:val="0"/>
        <w:keepLines w:val="0"/>
        <w:pageBreakBefore w:val="0"/>
        <w:numPr>
          <w:ilvl w:val="0"/>
          <w:numId w:val="1"/>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研究制定巡察整改方案，建立问题清单、任务清单、责任清单，明确责任人、整改措施和时限。</w:t>
      </w:r>
    </w:p>
    <w:p>
      <w:pPr>
        <w:keepNext w:val="0"/>
        <w:keepLines w:val="0"/>
        <w:pageBreakBefore w:val="0"/>
        <w:numPr>
          <w:ilvl w:val="0"/>
          <w:numId w:val="1"/>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召开领导班子巡察整改专题民主生活会。</w:t>
      </w:r>
    </w:p>
    <w:p>
      <w:pPr>
        <w:keepNext w:val="0"/>
        <w:keepLines w:val="0"/>
        <w:pageBreakBefore w:val="0"/>
        <w:numPr>
          <w:ilvl w:val="0"/>
          <w:numId w:val="1"/>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全面抓好巡察反馈问题的整改落实。</w:t>
      </w:r>
    </w:p>
    <w:p>
      <w:pPr>
        <w:keepNext w:val="0"/>
        <w:keepLines w:val="0"/>
        <w:pageBreakBefore w:val="0"/>
        <w:numPr>
          <w:ilvl w:val="0"/>
          <w:numId w:val="1"/>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认真处置巡察移交的问题线索以及群众反映的信访事项。</w:t>
      </w:r>
    </w:p>
    <w:p>
      <w:pPr>
        <w:keepNext w:val="0"/>
        <w:keepLines w:val="0"/>
        <w:pageBreakBefore w:val="0"/>
        <w:numPr>
          <w:ilvl w:val="0"/>
          <w:numId w:val="1"/>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对巡察反馈的问题举一反三，健全制度、补齐短板、堵塞漏洞。</w:t>
      </w:r>
    </w:p>
    <w:p>
      <w:pPr>
        <w:keepNext w:val="0"/>
        <w:keepLines w:val="0"/>
        <w:pageBreakBefore w:val="0"/>
        <w:numPr>
          <w:ilvl w:val="0"/>
          <w:numId w:val="1"/>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向纪检监察办公室、党委组织部、巡察办报送集中整改进展情况报告。集中整改结束后，被巡察党组织应当建立常态化、长效化整改工作机制，对尚未解决的问题持续抓好整改落实，根据工作实际适时报告后续整改情况。</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学院纪检监察办公室</w:t>
      </w:r>
      <w:r>
        <w:rPr>
          <w:rFonts w:hint="eastAsia" w:ascii="仿宋_GB2312" w:hAnsi="仿宋_GB2312" w:eastAsia="仿宋_GB2312" w:cs="仿宋_GB2312"/>
          <w:sz w:val="32"/>
          <w:szCs w:val="32"/>
          <w:lang w:eastAsia="zh-CN"/>
        </w:rPr>
        <w:t>承担巡察整改监督责任，全面监督</w:t>
      </w:r>
      <w:r>
        <w:rPr>
          <w:rFonts w:hint="eastAsia" w:ascii="仿宋_GB2312" w:hAnsi="仿宋_GB2312" w:eastAsia="仿宋_GB2312" w:cs="仿宋_GB2312"/>
          <w:sz w:val="32"/>
          <w:szCs w:val="32"/>
        </w:rPr>
        <w:t>被巡察党组织落实巡察整改任务。主要职责是：</w:t>
      </w:r>
    </w:p>
    <w:p>
      <w:pPr>
        <w:keepNext w:val="0"/>
        <w:keepLines w:val="0"/>
        <w:pageBreakBefore w:val="0"/>
        <w:numPr>
          <w:ilvl w:val="-1"/>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对被巡察党组织制定的巡察整改方案进行审核把关，列席巡察整改专题民主生活会</w:t>
      </w:r>
      <w:r>
        <w:rPr>
          <w:rFonts w:hint="eastAsia" w:ascii="仿宋_GB2312" w:hAnsi="仿宋_GB2312" w:eastAsia="仿宋_GB2312" w:cs="仿宋_GB2312"/>
          <w:sz w:val="32"/>
          <w:szCs w:val="32"/>
          <w:lang w:eastAsia="zh-CN"/>
        </w:rPr>
        <w:t>。</w:t>
      </w:r>
    </w:p>
    <w:p>
      <w:pPr>
        <w:keepNext w:val="0"/>
        <w:keepLines w:val="0"/>
        <w:pageBreakBefore w:val="0"/>
        <w:numPr>
          <w:ilvl w:val="-1"/>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建立巡察整改监督台账，综合运用听取汇报、召开推进会、专题会商、调研督导、现场检查、开展整改评估、谈话提醒、约谈函询、提出纪检监察建议等方式加强日常监督</w:t>
      </w:r>
      <w:r>
        <w:rPr>
          <w:rFonts w:hint="eastAsia" w:ascii="仿宋_GB2312" w:hAnsi="仿宋_GB2312" w:eastAsia="仿宋_GB2312" w:cs="仿宋_GB2312"/>
          <w:sz w:val="32"/>
          <w:szCs w:val="32"/>
          <w:lang w:eastAsia="zh-CN"/>
        </w:rPr>
        <w:t>。</w:t>
      </w:r>
    </w:p>
    <w:p>
      <w:pPr>
        <w:keepNext w:val="0"/>
        <w:keepLines w:val="0"/>
        <w:pageBreakBefore w:val="0"/>
        <w:numPr>
          <w:ilvl w:val="-1"/>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（三）对巡察发现的全面从严治党等方面的突出问题督促推动开展集中整治、专项治理。</w:t>
      </w:r>
    </w:p>
    <w:p>
      <w:pPr>
        <w:keepNext w:val="0"/>
        <w:keepLines w:val="0"/>
        <w:pageBreakBefore w:val="0"/>
        <w:numPr>
          <w:ilvl w:val="-1"/>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（四）依规依纪依法处置巡察移交的问题线索，自收到移交问题线索之日起</w:t>
      </w:r>
      <w:r>
        <w:rPr>
          <w:rFonts w:hint="eastAsia" w:ascii="仿宋_GB2312" w:hAnsi="仿宋_GB2312" w:eastAsia="仿宋_GB2312" w:cs="仿宋_GB2312"/>
          <w:sz w:val="32"/>
          <w:szCs w:val="32"/>
          <w:lang w:val="en-US" w:eastAsia="zh-CN"/>
        </w:rPr>
        <w:t>6个月内，向巡察办反馈处置进展情况。</w:t>
      </w:r>
    </w:p>
    <w:p>
      <w:pPr>
        <w:keepNext w:val="0"/>
        <w:keepLines w:val="0"/>
        <w:pageBreakBefore w:val="0"/>
        <w:numPr>
          <w:ilvl w:val="-1"/>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（五）牵头审核被巡察党组织的集中整改进展情况报告。</w:t>
      </w:r>
    </w:p>
    <w:p>
      <w:pPr>
        <w:keepNext w:val="0"/>
        <w:keepLines w:val="0"/>
        <w:pageBreakBefore w:val="0"/>
        <w:numPr>
          <w:ilvl w:val="-1"/>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（六）指导纪检委员加强对被巡察党组织落实巡察整改情况的监督。</w:t>
      </w:r>
    </w:p>
    <w:p>
      <w:pPr>
        <w:keepNext w:val="0"/>
        <w:keepLines w:val="0"/>
        <w:pageBreakBefore w:val="0"/>
        <w:numPr>
          <w:ilvl w:val="-1"/>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（七）通过巡察办向巡察工作领导小组报送巡察整改监督情况</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党委组织部结合职责履行巡察整改监督责任，监督被巡察党组织落实巡察整改任务。主要职责是：</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参与对被巡察党组织制定的巡察整改方案进行审核把关，列席巡察整改专题民主生活会</w:t>
      </w:r>
      <w:r>
        <w:rPr>
          <w:rFonts w:hint="eastAsia" w:ascii="仿宋_GB2312" w:hAnsi="仿宋_GB2312" w:eastAsia="仿宋_GB2312" w:cs="仿宋_GB2312"/>
          <w:sz w:val="32"/>
          <w:szCs w:val="32"/>
          <w:lang w:eastAsia="zh-CN"/>
        </w:rPr>
        <w:t>。</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督促被巡察党组织落实新时代党的组织路线方面问题的整改，加强日常监督，对突出问题组织开展集中整治、专项治理</w:t>
      </w:r>
      <w:r>
        <w:rPr>
          <w:rFonts w:hint="eastAsia" w:ascii="仿宋_GB2312" w:hAnsi="仿宋_GB2312" w:eastAsia="仿宋_GB2312" w:cs="仿宋_GB2312"/>
          <w:sz w:val="32"/>
          <w:szCs w:val="32"/>
          <w:lang w:eastAsia="zh-CN"/>
        </w:rPr>
        <w:t>。</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把巡察整改落实情况纳入被巡察党组织领导班子和领导干部年度考核重要内容，把巡察发现的问题以及整改落实情况作为领导班子建设和干部考核评价、选拔任用、管理监督的重要参考。</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对巡察移交的领导班子建设、贯彻执行民主集中制、干部选拔任用、人才队伍建设、基层党组织和党员队伍建设、干部担当作为等方面问题依规处置，自收到移交问题之日起</w:t>
      </w:r>
      <w:r>
        <w:rPr>
          <w:rFonts w:hint="eastAsia" w:ascii="仿宋_GB2312" w:hAnsi="仿宋_GB2312" w:eastAsia="仿宋_GB2312" w:cs="仿宋_GB2312"/>
          <w:sz w:val="32"/>
          <w:szCs w:val="32"/>
          <w:lang w:val="en-US" w:eastAsia="zh-CN"/>
        </w:rPr>
        <w:t>6个月内，向巡察办反馈处置进展情况。</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审核被巡察党组织的集中整改进展情况报告中涉及新时代党的组织路线方面的内容</w:t>
      </w:r>
      <w:r>
        <w:rPr>
          <w:rFonts w:hint="eastAsia" w:ascii="仿宋_GB2312" w:hAnsi="仿宋_GB2312" w:eastAsia="仿宋_GB2312" w:cs="仿宋_GB2312"/>
          <w:sz w:val="32"/>
          <w:szCs w:val="32"/>
          <w:lang w:eastAsia="zh-CN"/>
        </w:rPr>
        <w:t>。</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通过巡察办向巡察工作领导小组报送巡察整改监督情况。</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学院巡察工作领导小组听取被巡察单位有关整改情况的报告。</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学院党委统筹推进建立巡察成果运用机制。及时听取巡察工作领导小组有关情况汇报，研究并决定巡察成果的运用。巡察组应对巡察中发现的普遍性、倾向性问题以及</w:t>
      </w:r>
      <w:r>
        <w:rPr>
          <w:rFonts w:hint="eastAsia" w:ascii="仿宋_GB2312" w:hAnsi="仿宋_GB2312" w:eastAsia="仿宋_GB2312" w:cs="仿宋_GB2312"/>
          <w:sz w:val="32"/>
          <w:szCs w:val="32"/>
          <w:lang w:eastAsia="zh-CN"/>
        </w:rPr>
        <w:t>其他</w:t>
      </w:r>
      <w:r>
        <w:rPr>
          <w:rFonts w:hint="eastAsia" w:ascii="仿宋_GB2312" w:hAnsi="仿宋_GB2312" w:eastAsia="仿宋_GB2312" w:cs="仿宋_GB2312"/>
          <w:sz w:val="32"/>
          <w:szCs w:val="32"/>
        </w:rPr>
        <w:t>重要问题，形成专题报告，分析原因，向学院党委提出建议。学院相关部门应充分利用巡察成果，将其作为评优评奖、年终考核、干部考察评价和选拔任用等重要依据。</w:t>
      </w:r>
    </w:p>
    <w:p>
      <w:pPr>
        <w:keepNext w:val="0"/>
        <w:keepLines w:val="0"/>
        <w:pageBreakBefore w:val="0"/>
        <w:numPr>
          <w:ilvl w:val="0"/>
          <w:numId w:val="3"/>
        </w:numPr>
        <w:kinsoku/>
        <w:wordWrap/>
        <w:overflowPunct/>
        <w:topLinePunct w:val="0"/>
        <w:autoSpaceDE/>
        <w:autoSpaceDN/>
        <w:bidi w:val="0"/>
        <w:adjustRightInd w:val="0"/>
        <w:snapToGrid w:val="0"/>
        <w:spacing w:line="560" w:lineRule="exact"/>
        <w:ind w:firstLine="0" w:firstLineChars="0"/>
        <w:jc w:val="center"/>
        <w:textAlignment w:val="auto"/>
        <w:rPr>
          <w:rFonts w:ascii="黑体" w:hAnsi="黑体" w:eastAsia="黑体" w:cs="黑体"/>
          <w:sz w:val="32"/>
          <w:szCs w:val="32"/>
        </w:rPr>
      </w:pPr>
      <w:r>
        <w:rPr>
          <w:rFonts w:hint="eastAsia" w:ascii="黑体" w:hAnsi="黑体" w:eastAsia="黑体" w:cs="黑体"/>
          <w:sz w:val="32"/>
          <w:szCs w:val="32"/>
        </w:rPr>
        <w:t>巡察队伍建设</w:t>
      </w:r>
    </w:p>
    <w:p>
      <w:pPr>
        <w:keepNext w:val="0"/>
        <w:keepLines w:val="0"/>
        <w:pageBreakBefore w:val="0"/>
        <w:kinsoku/>
        <w:wordWrap/>
        <w:overflowPunct/>
        <w:topLinePunct w:val="0"/>
        <w:autoSpaceDE/>
        <w:autoSpaceDN/>
        <w:bidi w:val="0"/>
        <w:adjustRightInd w:val="0"/>
        <w:snapToGrid w:val="0"/>
        <w:spacing w:line="560" w:lineRule="exact"/>
        <w:ind w:firstLine="643"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六</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b w:val="0"/>
          <w:bCs w:val="0"/>
          <w:sz w:val="32"/>
          <w:szCs w:val="32"/>
        </w:rPr>
        <w:t>学院党委加强</w:t>
      </w:r>
      <w:r>
        <w:rPr>
          <w:rFonts w:hint="eastAsia" w:ascii="仿宋_GB2312" w:hAnsi="仿宋_GB2312" w:eastAsia="仿宋_GB2312" w:cs="仿宋_GB2312"/>
          <w:sz w:val="32"/>
          <w:szCs w:val="32"/>
        </w:rPr>
        <w:t>对巡察干部队伍建设的整体谋划。党委组织部负责每一轮巡察组组长、副组长的选择配备，巡察办公室配合做好巡察组的组建工作。</w:t>
      </w:r>
      <w:bookmarkStart w:id="3" w:name="OLE_LINK3"/>
      <w:r>
        <w:rPr>
          <w:rFonts w:hint="eastAsia" w:ascii="仿宋_GB2312" w:hAnsi="仿宋_GB2312" w:eastAsia="仿宋_GB2312" w:cs="仿宋_GB2312"/>
          <w:sz w:val="32"/>
          <w:szCs w:val="32"/>
        </w:rPr>
        <w:t>新任正处级干部原则上2年内需</w:t>
      </w:r>
      <w:r>
        <w:rPr>
          <w:rFonts w:hint="eastAsia" w:ascii="仿宋_GB2312" w:hAnsi="仿宋_GB2312" w:eastAsia="仿宋_GB2312" w:cs="仿宋_GB2312"/>
          <w:sz w:val="32"/>
          <w:szCs w:val="32"/>
          <w:lang w:eastAsia="zh-CN"/>
        </w:rPr>
        <w:t>参加</w:t>
      </w:r>
      <w:r>
        <w:rPr>
          <w:rFonts w:hint="eastAsia" w:ascii="仿宋_GB2312" w:hAnsi="仿宋_GB2312" w:eastAsia="仿宋_GB2312" w:cs="仿宋_GB2312"/>
          <w:sz w:val="32"/>
          <w:szCs w:val="32"/>
        </w:rPr>
        <w:t>一轮巡察工作。</w:t>
      </w:r>
    </w:p>
    <w:bookmarkEnd w:id="3"/>
    <w:p>
      <w:pPr>
        <w:keepNext w:val="0"/>
        <w:keepLines w:val="0"/>
        <w:pageBreakBefore w:val="0"/>
        <w:kinsoku/>
        <w:wordWrap/>
        <w:overflowPunct/>
        <w:topLinePunct w:val="0"/>
        <w:autoSpaceDE/>
        <w:autoSpaceDN/>
        <w:bidi w:val="0"/>
        <w:adjustRightInd w:val="0"/>
        <w:snapToGrid w:val="0"/>
        <w:spacing w:line="560" w:lineRule="exact"/>
        <w:ind w:firstLine="643" w:firstLineChars="200"/>
        <w:jc w:val="left"/>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学院遴选优秀干部教师建立巡察组成员库，巡察组成员原则上从成员库中选择。</w:t>
      </w:r>
      <w:r>
        <w:rPr>
          <w:rFonts w:hint="eastAsia" w:ascii="仿宋_GB2312" w:hAnsi="仿宋_GB2312" w:eastAsia="仿宋_GB2312" w:cs="仿宋_GB2312"/>
          <w:b w:val="0"/>
          <w:bCs w:val="0"/>
          <w:sz w:val="32"/>
          <w:szCs w:val="32"/>
        </w:rPr>
        <w:t>巡察组成员须具备以下条件：</w:t>
      </w:r>
    </w:p>
    <w:p>
      <w:pPr>
        <w:keepNext w:val="0"/>
        <w:keepLines w:val="0"/>
        <w:pageBreakBefore w:val="0"/>
        <w:kinsoku/>
        <w:wordWrap/>
        <w:overflowPunct/>
        <w:topLinePunct w:val="0"/>
        <w:autoSpaceDE/>
        <w:autoSpaceDN/>
        <w:bidi w:val="0"/>
        <w:adjustRightInd w:val="0"/>
        <w:snapToGrid w:val="0"/>
        <w:spacing w:line="560" w:lineRule="exact"/>
        <w:ind w:firstLine="643"/>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（一）理想信念坚定，政治素质过硬，对党忠诚，在思想</w:t>
      </w:r>
      <w:r>
        <w:rPr>
          <w:rFonts w:hint="eastAsia" w:ascii="仿宋_GB2312" w:hAnsi="仿宋_GB2312" w:eastAsia="仿宋_GB2312" w:cs="仿宋_GB2312"/>
          <w:b w:val="0"/>
          <w:bCs w:val="0"/>
          <w:sz w:val="32"/>
          <w:szCs w:val="32"/>
          <w:lang w:eastAsia="zh-CN"/>
        </w:rPr>
        <w:t>上</w:t>
      </w:r>
      <w:r>
        <w:rPr>
          <w:rFonts w:hint="eastAsia" w:ascii="仿宋_GB2312" w:hAnsi="仿宋_GB2312" w:eastAsia="仿宋_GB2312" w:cs="仿宋_GB2312"/>
          <w:b w:val="0"/>
          <w:bCs w:val="0"/>
          <w:sz w:val="32"/>
          <w:szCs w:val="32"/>
        </w:rPr>
        <w:t>政治上行动上同以习近平同志为核心的党中央保持高度一致</w:t>
      </w:r>
      <w:r>
        <w:rPr>
          <w:rFonts w:hint="eastAsia" w:ascii="仿宋_GB2312" w:hAnsi="仿宋_GB2312" w:eastAsia="仿宋_GB2312" w:cs="仿宋_GB2312"/>
          <w:b w:val="0"/>
          <w:bCs w:val="0"/>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3"/>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sz w:val="32"/>
          <w:szCs w:val="32"/>
        </w:rPr>
        <w:t>（二）坚持原则、</w:t>
      </w:r>
      <w:r>
        <w:rPr>
          <w:rFonts w:hint="eastAsia" w:ascii="仿宋_GB2312" w:hAnsi="仿宋_GB2312" w:eastAsia="仿宋_GB2312" w:cs="仿宋_GB2312"/>
          <w:sz w:val="32"/>
          <w:szCs w:val="32"/>
        </w:rPr>
        <w:t>敢于担当，服从领导、听从指挥，勇于监督、依法办事，公道正派、作风优良，具有良好口碑</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3"/>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（三）清正廉洁，组织纪律性强，遵守党的纪律，严守党的秘密</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3"/>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（四）具有较强的发现问题、沟通协调、文字综合等能力，熟悉巡察工作相关规定或具有较强的学习能力</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3"/>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（五）身体健康，能胜任工作要求。</w:t>
      </w:r>
    </w:p>
    <w:p>
      <w:pPr>
        <w:keepNext w:val="0"/>
        <w:keepLines w:val="0"/>
        <w:pageBreakBefore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b w:val="0"/>
          <w:bCs w:val="0"/>
          <w:sz w:val="32"/>
          <w:szCs w:val="32"/>
        </w:rPr>
        <w:t>巡察办对巡察人员库实行动态调整，实行回避制度，一经发现不适宜从事巡察工作的人员应及时予以调整。</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黑体" w:hAnsi="黑体" w:eastAsia="黑体" w:cs="黑体"/>
          <w:sz w:val="32"/>
          <w:szCs w:val="32"/>
        </w:rPr>
      </w:pPr>
      <w:r>
        <w:rPr>
          <w:rFonts w:hint="eastAsia" w:ascii="黑体" w:hAnsi="黑体" w:eastAsia="黑体" w:cs="黑体"/>
          <w:sz w:val="32"/>
          <w:szCs w:val="32"/>
          <w:lang w:eastAsia="zh-CN"/>
        </w:rPr>
        <w:t>八</w:t>
      </w:r>
      <w:r>
        <w:rPr>
          <w:rFonts w:hint="eastAsia" w:ascii="黑体" w:hAnsi="黑体" w:eastAsia="黑体" w:cs="黑体"/>
          <w:sz w:val="32"/>
          <w:szCs w:val="32"/>
        </w:rPr>
        <w:t>、巡察支持保障</w:t>
      </w:r>
    </w:p>
    <w:p>
      <w:pPr>
        <w:keepNext w:val="0"/>
        <w:keepLines w:val="0"/>
        <w:pageBreakBefore w:val="0"/>
        <w:kinsoku/>
        <w:wordWrap/>
        <w:overflowPunct/>
        <w:topLinePunct w:val="0"/>
        <w:autoSpaceDE/>
        <w:autoSpaceDN/>
        <w:bidi w:val="0"/>
        <w:adjustRightInd w:val="0"/>
        <w:snapToGrid w:val="0"/>
        <w:spacing w:line="560" w:lineRule="exact"/>
        <w:ind w:firstLine="643"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九</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学院建立巡察组成员工作奖励机制，每年分出1-2个年终考核优秀指标，对表现优秀的巡察组成员进行单独奖励。</w:t>
      </w:r>
    </w:p>
    <w:p>
      <w:pPr>
        <w:keepNext w:val="0"/>
        <w:keepLines w:val="0"/>
        <w:pageBreakBefore w:val="0"/>
        <w:kinsoku/>
        <w:wordWrap/>
        <w:overflowPunct/>
        <w:topLinePunct w:val="0"/>
        <w:autoSpaceDE/>
        <w:autoSpaceDN/>
        <w:bidi w:val="0"/>
        <w:adjustRightInd w:val="0"/>
        <w:snapToGrid w:val="0"/>
        <w:spacing w:line="560" w:lineRule="exact"/>
        <w:ind w:firstLine="643"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三十</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加强巡察监督与学院其他监督的融合贯通，学院党政办公室、组织部、宣传部、纪检监察办公室、学工部、教工部、教务处、财务处、资产处、审计处等部门加强</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巡察办及巡察组的支持配合，做好巡察前问题交底、巡察中业务支持指导、巡察后整改监督和线索查处等工作。</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第三十</w:t>
      </w: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探索运用信息化手段推进巡察规范化。推进巡察网络平台建设，健全巡察基础数据库，强化数据综合分析利用，提高运用信息化手段开展工作的能力。探索运用信息化手段和统计、测评等方式拓展发现问题渠道。</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仿宋_GB2312" w:hAnsi="仿宋_GB2312" w:eastAsia="仿宋_GB2312" w:cs="仿宋_GB2312"/>
          <w:sz w:val="32"/>
          <w:szCs w:val="32"/>
        </w:rPr>
      </w:pPr>
      <w:r>
        <w:rPr>
          <w:rFonts w:hint="eastAsia" w:ascii="黑体" w:hAnsi="黑体" w:eastAsia="黑体" w:cs="黑体"/>
          <w:sz w:val="32"/>
          <w:szCs w:val="32"/>
          <w:lang w:eastAsia="zh-CN"/>
        </w:rPr>
        <w:t>九</w:t>
      </w:r>
      <w:r>
        <w:rPr>
          <w:rFonts w:hint="eastAsia" w:ascii="黑体" w:hAnsi="黑体" w:eastAsia="黑体" w:cs="黑体"/>
          <w:sz w:val="32"/>
          <w:szCs w:val="32"/>
        </w:rPr>
        <w:t>、巡察工作要求</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第三十</w:t>
      </w: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加强党的领导。学院党委常委会定期研究巡察工作，听取巡察工作情况汇报，确保各项工作落实到位。被巡察单位要切实履行全面从严治党主体责任，高度重视并积极配合巡察工作。针对巡察中反映的问题认真进行整改，促进本单位各项管理工作的提高。</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第三十</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严格依规依纪。巡察组要严格按照制度规定开展巡察工作，不干预被巡察单位的正常工作，不履行执纪审查职责，不作个人表态，重大问题及时向巡察工作领导小组请示报告。巡察工作人员应严格遵守政治纪律、工作纪律和保密纪律，执行请示报告制度。巡察工作领导小组应坚决贯彻有关巡察工作的部署要求，切实解决巡察中遇到的问题，推进巡察工作深入开展。</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第三十</w:t>
      </w: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坚持问题导向。牢固树立问题意识，把问题导向贯穿巡察工作全过程和各环节，推进学院全面从严治党常态化。巡察组要善于发现问题、如实报告问题，建立“对重大问题应该发现而没有发现就是失职,发现问题没有客观汇报就是渎职”意识。学院各职能部门要积极支持配合巡察工作，如实反映所属领域检查中发现的问题，共同推动解决巡察中发现的问题。 </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黑体" w:hAnsi="黑体" w:eastAsia="黑体" w:cs="黑体"/>
          <w:sz w:val="32"/>
          <w:szCs w:val="32"/>
        </w:rPr>
      </w:pPr>
      <w:r>
        <w:rPr>
          <w:rFonts w:hint="eastAsia" w:ascii="黑体" w:hAnsi="黑体" w:eastAsia="黑体" w:cs="黑体"/>
          <w:sz w:val="32"/>
          <w:szCs w:val="32"/>
          <w:lang w:eastAsia="zh-CN"/>
        </w:rPr>
        <w:t>十</w:t>
      </w:r>
      <w:r>
        <w:rPr>
          <w:rFonts w:hint="eastAsia" w:ascii="黑体" w:hAnsi="黑体" w:eastAsia="黑体" w:cs="黑体"/>
          <w:sz w:val="32"/>
          <w:szCs w:val="32"/>
        </w:rPr>
        <w:t>、附则</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方正小标宋_GBK" w:eastAsia="方正小标宋_GBK" w:cs="方正小标宋_GBK"/>
          <w:sz w:val="44"/>
          <w:szCs w:val="44"/>
        </w:rPr>
      </w:pPr>
      <w:r>
        <w:rPr>
          <w:rFonts w:hint="eastAsia" w:ascii="仿宋_GB2312" w:hAnsi="仿宋_GB2312" w:eastAsia="仿宋_GB2312" w:cs="仿宋_GB2312"/>
          <w:b/>
          <w:bCs/>
          <w:sz w:val="32"/>
          <w:szCs w:val="32"/>
        </w:rPr>
        <w:t>第三十</w:t>
      </w:r>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本办法由巡察办负责解释，自发布之日起施行。</w:t>
      </w:r>
    </w:p>
    <w:bookmarkEnd w:id="1"/>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方正小标宋简体" w:eastAsia="方正小标宋简体"/>
          <w:b/>
          <w:sz w:val="44"/>
          <w:szCs w:val="44"/>
          <w:lang w:eastAsia="zh-CN"/>
        </w:rPr>
      </w:pPr>
    </w:p>
    <w:p>
      <w:pPr>
        <w:keepNext w:val="0"/>
        <w:keepLines w:val="0"/>
        <w:pageBreakBefore w:val="0"/>
        <w:kinsoku/>
        <w:wordWrap/>
        <w:overflowPunct/>
        <w:topLinePunct w:val="0"/>
        <w:autoSpaceDE/>
        <w:autoSpaceDN/>
        <w:bidi w:val="0"/>
        <w:spacing w:line="560" w:lineRule="exact"/>
        <w:ind w:firstLine="640"/>
        <w:textAlignment w:val="auto"/>
        <w:rPr>
          <w:rFonts w:hint="eastAsia" w:ascii="仿宋_GB2312" w:eastAsia="仿宋_GB2312"/>
          <w:sz w:val="32"/>
          <w:szCs w:val="36"/>
        </w:rPr>
      </w:pPr>
    </w:p>
    <w:p>
      <w:pPr>
        <w:keepNext w:val="0"/>
        <w:keepLines w:val="0"/>
        <w:pageBreakBefore w:val="0"/>
        <w:kinsoku/>
        <w:wordWrap/>
        <w:overflowPunct/>
        <w:topLinePunct w:val="0"/>
        <w:autoSpaceDE/>
        <w:autoSpaceDN/>
        <w:bidi w:val="0"/>
        <w:spacing w:line="560" w:lineRule="exact"/>
        <w:ind w:firstLine="640"/>
        <w:textAlignment w:val="auto"/>
        <w:rPr>
          <w:rFonts w:hint="eastAsia" w:ascii="仿宋_GB2312" w:eastAsia="仿宋_GB2312"/>
          <w:sz w:val="32"/>
          <w:szCs w:val="36"/>
        </w:rPr>
      </w:pPr>
    </w:p>
    <w:p>
      <w:pPr>
        <w:keepNext w:val="0"/>
        <w:keepLines w:val="0"/>
        <w:pageBreakBefore w:val="0"/>
        <w:kinsoku/>
        <w:wordWrap/>
        <w:overflowPunct/>
        <w:topLinePunct w:val="0"/>
        <w:autoSpaceDE/>
        <w:autoSpaceDN/>
        <w:bidi w:val="0"/>
        <w:spacing w:line="560" w:lineRule="exact"/>
        <w:ind w:firstLine="640"/>
        <w:textAlignment w:val="auto"/>
        <w:rPr>
          <w:rFonts w:hint="eastAsia" w:ascii="仿宋_GB2312" w:eastAsia="仿宋_GB2312"/>
          <w:sz w:val="32"/>
          <w:szCs w:val="36"/>
        </w:rPr>
      </w:pPr>
    </w:p>
    <w:p>
      <w:pPr>
        <w:keepNext w:val="0"/>
        <w:keepLines w:val="0"/>
        <w:pageBreakBefore w:val="0"/>
        <w:kinsoku/>
        <w:wordWrap/>
        <w:overflowPunct/>
        <w:topLinePunct w:val="0"/>
        <w:autoSpaceDE/>
        <w:autoSpaceDN/>
        <w:bidi w:val="0"/>
        <w:spacing w:line="560" w:lineRule="exact"/>
        <w:ind w:firstLine="640"/>
        <w:textAlignment w:val="auto"/>
        <w:rPr>
          <w:rFonts w:hint="eastAsia" w:ascii="仿宋_GB2312" w:eastAsia="仿宋_GB2312"/>
          <w:sz w:val="32"/>
          <w:szCs w:val="36"/>
        </w:rPr>
      </w:pPr>
    </w:p>
    <w:p>
      <w:pPr>
        <w:keepNext w:val="0"/>
        <w:keepLines w:val="0"/>
        <w:pageBreakBefore w:val="0"/>
        <w:kinsoku/>
        <w:wordWrap/>
        <w:overflowPunct/>
        <w:topLinePunct w:val="0"/>
        <w:autoSpaceDE/>
        <w:autoSpaceDN/>
        <w:bidi w:val="0"/>
        <w:spacing w:line="560" w:lineRule="exact"/>
        <w:ind w:firstLine="640"/>
        <w:textAlignment w:val="auto"/>
        <w:rPr>
          <w:rFonts w:hint="eastAsia" w:ascii="仿宋_GB2312" w:eastAsia="仿宋_GB2312"/>
          <w:sz w:val="32"/>
          <w:szCs w:val="36"/>
        </w:rPr>
      </w:pPr>
    </w:p>
    <w:p>
      <w:pPr>
        <w:keepNext w:val="0"/>
        <w:keepLines w:val="0"/>
        <w:pageBreakBefore w:val="0"/>
        <w:kinsoku/>
        <w:wordWrap/>
        <w:overflowPunct/>
        <w:topLinePunct w:val="0"/>
        <w:autoSpaceDE/>
        <w:autoSpaceDN/>
        <w:bidi w:val="0"/>
        <w:spacing w:line="560" w:lineRule="exact"/>
        <w:ind w:firstLine="640"/>
        <w:textAlignment w:val="auto"/>
        <w:rPr>
          <w:rFonts w:hint="eastAsia" w:ascii="仿宋_GB2312" w:eastAsia="仿宋_GB2312"/>
          <w:sz w:val="32"/>
          <w:szCs w:val="36"/>
        </w:rPr>
      </w:pPr>
    </w:p>
    <w:p>
      <w:pPr>
        <w:keepNext w:val="0"/>
        <w:keepLines w:val="0"/>
        <w:pageBreakBefore w:val="0"/>
        <w:kinsoku/>
        <w:wordWrap/>
        <w:overflowPunct/>
        <w:topLinePunct w:val="0"/>
        <w:autoSpaceDE/>
        <w:autoSpaceDN/>
        <w:bidi w:val="0"/>
        <w:spacing w:line="560" w:lineRule="exact"/>
        <w:ind w:firstLine="640"/>
        <w:textAlignment w:val="auto"/>
        <w:rPr>
          <w:rFonts w:hint="eastAsia" w:ascii="仿宋_GB2312" w:eastAsia="仿宋_GB2312"/>
          <w:sz w:val="32"/>
          <w:szCs w:val="36"/>
        </w:rPr>
      </w:pPr>
    </w:p>
    <w:p>
      <w:pPr>
        <w:keepNext w:val="0"/>
        <w:keepLines w:val="0"/>
        <w:pageBreakBefore w:val="0"/>
        <w:kinsoku/>
        <w:wordWrap/>
        <w:overflowPunct/>
        <w:topLinePunct w:val="0"/>
        <w:autoSpaceDE/>
        <w:autoSpaceDN/>
        <w:bidi w:val="0"/>
        <w:spacing w:line="560" w:lineRule="exact"/>
        <w:ind w:firstLine="640"/>
        <w:textAlignment w:val="auto"/>
        <w:rPr>
          <w:rFonts w:hint="eastAsia" w:ascii="仿宋_GB2312" w:eastAsia="仿宋_GB2312"/>
          <w:sz w:val="32"/>
          <w:szCs w:val="36"/>
        </w:rPr>
      </w:pPr>
    </w:p>
    <w:p>
      <w:pPr>
        <w:keepNext w:val="0"/>
        <w:keepLines w:val="0"/>
        <w:pageBreakBefore w:val="0"/>
        <w:kinsoku/>
        <w:wordWrap/>
        <w:overflowPunct/>
        <w:topLinePunct w:val="0"/>
        <w:autoSpaceDE/>
        <w:autoSpaceDN/>
        <w:bidi w:val="0"/>
        <w:spacing w:line="560" w:lineRule="exact"/>
        <w:ind w:firstLine="640"/>
        <w:textAlignment w:val="auto"/>
        <w:rPr>
          <w:rFonts w:hint="eastAsia" w:ascii="仿宋_GB2312" w:eastAsia="仿宋_GB2312"/>
          <w:sz w:val="32"/>
          <w:szCs w:val="36"/>
        </w:rPr>
      </w:pPr>
    </w:p>
    <w:p>
      <w:pPr>
        <w:keepNext w:val="0"/>
        <w:keepLines w:val="0"/>
        <w:pageBreakBefore w:val="0"/>
        <w:kinsoku/>
        <w:wordWrap/>
        <w:overflowPunct/>
        <w:topLinePunct w:val="0"/>
        <w:autoSpaceDE/>
        <w:autoSpaceDN/>
        <w:bidi w:val="0"/>
        <w:spacing w:line="560" w:lineRule="exact"/>
        <w:ind w:firstLine="640"/>
        <w:textAlignment w:val="auto"/>
        <w:rPr>
          <w:rFonts w:hint="eastAsia" w:ascii="仿宋_GB2312" w:eastAsia="仿宋_GB2312"/>
          <w:sz w:val="32"/>
          <w:szCs w:val="36"/>
        </w:rPr>
      </w:pPr>
    </w:p>
    <w:p>
      <w:pPr>
        <w:keepNext w:val="0"/>
        <w:keepLines w:val="0"/>
        <w:pageBreakBefore w:val="0"/>
        <w:kinsoku/>
        <w:wordWrap/>
        <w:overflowPunct/>
        <w:topLinePunct w:val="0"/>
        <w:autoSpaceDE/>
        <w:autoSpaceDN/>
        <w:bidi w:val="0"/>
        <w:spacing w:line="560" w:lineRule="exact"/>
        <w:ind w:firstLine="640"/>
        <w:textAlignment w:val="auto"/>
        <w:rPr>
          <w:rFonts w:hint="eastAsia" w:ascii="仿宋_GB2312" w:eastAsia="仿宋_GB2312"/>
          <w:sz w:val="32"/>
          <w:szCs w:val="36"/>
        </w:rPr>
      </w:pPr>
    </w:p>
    <w:p>
      <w:pPr>
        <w:keepNext w:val="0"/>
        <w:keepLines w:val="0"/>
        <w:pageBreakBefore w:val="0"/>
        <w:kinsoku/>
        <w:wordWrap/>
        <w:overflowPunct/>
        <w:topLinePunct w:val="0"/>
        <w:autoSpaceDE/>
        <w:autoSpaceDN/>
        <w:bidi w:val="0"/>
        <w:spacing w:line="560" w:lineRule="exact"/>
        <w:ind w:firstLine="640"/>
        <w:textAlignment w:val="auto"/>
        <w:rPr>
          <w:rFonts w:hint="eastAsia" w:ascii="仿宋_GB2312" w:eastAsia="仿宋_GB2312"/>
          <w:sz w:val="32"/>
          <w:szCs w:val="36"/>
        </w:rPr>
      </w:pPr>
    </w:p>
    <w:p>
      <w:pPr>
        <w:keepNext w:val="0"/>
        <w:keepLines w:val="0"/>
        <w:pageBreakBefore w:val="0"/>
        <w:kinsoku/>
        <w:wordWrap/>
        <w:overflowPunct/>
        <w:topLinePunct w:val="0"/>
        <w:autoSpaceDE/>
        <w:autoSpaceDN/>
        <w:bidi w:val="0"/>
        <w:spacing w:line="560" w:lineRule="exact"/>
        <w:ind w:firstLine="640"/>
        <w:textAlignment w:val="auto"/>
        <w:rPr>
          <w:rFonts w:hint="eastAsia" w:ascii="仿宋_GB2312" w:eastAsia="仿宋_GB2312"/>
          <w:sz w:val="32"/>
          <w:szCs w:val="36"/>
        </w:rPr>
      </w:pPr>
    </w:p>
    <w:p>
      <w:pPr>
        <w:keepNext w:val="0"/>
        <w:keepLines w:val="0"/>
        <w:pageBreakBefore w:val="0"/>
        <w:kinsoku/>
        <w:wordWrap/>
        <w:overflowPunct/>
        <w:topLinePunct w:val="0"/>
        <w:autoSpaceDE/>
        <w:autoSpaceDN/>
        <w:bidi w:val="0"/>
        <w:spacing w:line="560" w:lineRule="exact"/>
        <w:ind w:firstLine="640"/>
        <w:textAlignment w:val="auto"/>
        <w:rPr>
          <w:rFonts w:hint="eastAsia" w:ascii="仿宋_GB2312" w:eastAsia="仿宋_GB2312"/>
          <w:sz w:val="32"/>
          <w:szCs w:val="36"/>
        </w:rPr>
      </w:pPr>
    </w:p>
    <w:p>
      <w:pPr>
        <w:keepNext w:val="0"/>
        <w:keepLines w:val="0"/>
        <w:pageBreakBefore w:val="0"/>
        <w:kinsoku/>
        <w:wordWrap/>
        <w:overflowPunct/>
        <w:topLinePunct w:val="0"/>
        <w:autoSpaceDE/>
        <w:autoSpaceDN/>
        <w:bidi w:val="0"/>
        <w:spacing w:line="560" w:lineRule="exact"/>
        <w:ind w:firstLine="640"/>
        <w:textAlignment w:val="auto"/>
        <w:rPr>
          <w:rFonts w:hint="eastAsia" w:ascii="仿宋_GB2312" w:eastAsia="仿宋_GB2312"/>
          <w:sz w:val="32"/>
          <w:szCs w:val="36"/>
        </w:rPr>
      </w:pPr>
    </w:p>
    <w:p>
      <w:pPr>
        <w:keepNext w:val="0"/>
        <w:keepLines w:val="0"/>
        <w:pageBreakBefore w:val="0"/>
        <w:kinsoku/>
        <w:wordWrap/>
        <w:overflowPunct/>
        <w:topLinePunct w:val="0"/>
        <w:autoSpaceDE/>
        <w:autoSpaceDN/>
        <w:bidi w:val="0"/>
        <w:spacing w:line="560" w:lineRule="exact"/>
        <w:ind w:firstLine="640"/>
        <w:textAlignment w:val="auto"/>
        <w:rPr>
          <w:rFonts w:hint="eastAsia" w:ascii="仿宋_GB2312" w:eastAsia="仿宋_GB2312"/>
          <w:sz w:val="32"/>
          <w:szCs w:val="36"/>
        </w:rPr>
      </w:pPr>
    </w:p>
    <w:p>
      <w:pPr>
        <w:ind w:firstLine="0" w:firstLineChars="0"/>
      </w:pPr>
    </w:p>
    <w:tbl>
      <w:tblPr>
        <w:tblStyle w:val="7"/>
        <w:tblpPr w:leftFromText="180" w:rightFromText="180" w:vertAnchor="text" w:horzAnchor="page" w:tblpX="1622" w:tblpY="11769"/>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70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c>
          <w:tcPr>
            <w:tcW w:w="8709" w:type="dxa"/>
            <w:tcBorders>
              <w:top w:val="single" w:color="auto" w:sz="4" w:space="0"/>
              <w:left w:val="nil"/>
              <w:bottom w:val="single" w:color="auto" w:sz="4" w:space="0"/>
              <w:right w:val="nil"/>
            </w:tcBorders>
          </w:tcPr>
          <w:p>
            <w:pPr>
              <w:spacing w:line="560" w:lineRule="exact"/>
              <w:ind w:firstLine="280" w:firstLineChars="100"/>
              <w:jc w:val="left"/>
              <w:rPr>
                <w:rFonts w:ascii="Calibri" w:hAnsi="Calibri" w:cs="黑体"/>
                <w:sz w:val="28"/>
                <w:szCs w:val="28"/>
              </w:rPr>
            </w:pPr>
            <w:r>
              <w:rPr>
                <w:rFonts w:hint="eastAsia" w:ascii="仿宋_GB2312" w:hAnsi="Calibri" w:eastAsia="仿宋_GB2312" w:cs="黑体"/>
                <w:sz w:val="28"/>
                <w:szCs w:val="28"/>
              </w:rPr>
              <w:t>党政办公室                             202</w:t>
            </w:r>
            <w:r>
              <w:rPr>
                <w:rFonts w:hint="eastAsia" w:ascii="仿宋_GB2312" w:hAnsi="Calibri" w:eastAsia="仿宋_GB2312" w:cs="黑体"/>
                <w:sz w:val="28"/>
                <w:szCs w:val="28"/>
                <w:lang w:val="en-US" w:eastAsia="zh-CN"/>
              </w:rPr>
              <w:t>6</w:t>
            </w:r>
            <w:r>
              <w:rPr>
                <w:rFonts w:hint="eastAsia" w:ascii="仿宋_GB2312" w:hAnsi="Calibri" w:eastAsia="仿宋_GB2312" w:cs="黑体"/>
                <w:sz w:val="28"/>
                <w:szCs w:val="28"/>
              </w:rPr>
              <w:t>年</w:t>
            </w:r>
            <w:r>
              <w:rPr>
                <w:rFonts w:ascii="仿宋_GB2312" w:hAnsi="Calibri" w:eastAsia="仿宋_GB2312" w:cs="黑体"/>
                <w:sz w:val="28"/>
                <w:szCs w:val="28"/>
              </w:rPr>
              <w:t>3</w:t>
            </w:r>
            <w:r>
              <w:rPr>
                <w:rFonts w:hint="eastAsia" w:ascii="仿宋_GB2312" w:hAnsi="Calibri" w:eastAsia="仿宋_GB2312" w:cs="黑体"/>
                <w:sz w:val="28"/>
                <w:szCs w:val="28"/>
              </w:rPr>
              <w:t>月</w:t>
            </w:r>
            <w:r>
              <w:rPr>
                <w:rFonts w:hint="eastAsia" w:ascii="仿宋_GB2312" w:hAnsi="Calibri" w:eastAsia="仿宋_GB2312" w:cs="黑体"/>
                <w:sz w:val="28"/>
                <w:szCs w:val="28"/>
                <w:lang w:val="en-US" w:eastAsia="zh-CN"/>
              </w:rPr>
              <w:t>24</w:t>
            </w:r>
            <w:r>
              <w:rPr>
                <w:rFonts w:hint="eastAsia" w:ascii="仿宋_GB2312" w:hAnsi="Calibri" w:eastAsia="仿宋_GB2312" w:cs="黑体"/>
                <w:sz w:val="28"/>
                <w:szCs w:val="28"/>
              </w:rPr>
              <w:t>日印发</w:t>
            </w:r>
          </w:p>
        </w:tc>
      </w:tr>
    </w:tbl>
    <w:p>
      <w:pPr>
        <w:keepNext w:val="0"/>
        <w:keepLines w:val="0"/>
        <w:pageBreakBefore w:val="0"/>
        <w:kinsoku/>
        <w:wordWrap/>
        <w:overflowPunct/>
        <w:topLinePunct w:val="0"/>
        <w:autoSpaceDE/>
        <w:autoSpaceDN/>
        <w:bidi w:val="0"/>
        <w:spacing w:line="560" w:lineRule="exact"/>
        <w:textAlignment w:val="auto"/>
      </w:pPr>
      <w:bookmarkStart w:id="4" w:name="_GoBack"/>
      <w:bookmarkEnd w:id="4"/>
    </w:p>
    <w:sectPr>
      <w:headerReference r:id="rId3" w:type="default"/>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49E4B15-3453-47AD-8AC3-7C4E9FED5D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213298F-8E31-49C9-9C5D-A684FA5ADEAF}"/>
  </w:font>
  <w:font w:name="方正小标宋">
    <w:altName w:val="方正小标宋简体"/>
    <w:panose1 w:val="03000509000000000000"/>
    <w:charset w:val="86"/>
    <w:family w:val="script"/>
    <w:pitch w:val="default"/>
    <w:sig w:usb0="00000000" w:usb1="00000000" w:usb2="00000010"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8B65FE5F-C579-42E2-B155-79C79D5BBF0B}"/>
  </w:font>
  <w:font w:name="方正小标宋简体">
    <w:panose1 w:val="03000509000000000000"/>
    <w:charset w:val="86"/>
    <w:family w:val="script"/>
    <w:pitch w:val="default"/>
    <w:sig w:usb0="00000001" w:usb1="080E0000" w:usb2="00000000" w:usb3="00000000" w:csb0="00040000" w:csb1="00000000"/>
    <w:embedRegular r:id="rId4" w:fontKey="{E52B0608-5980-4757-B2FD-4C632D6BEA5B}"/>
  </w:font>
  <w:font w:name="华文中宋">
    <w:panose1 w:val="02010600040101010101"/>
    <w:charset w:val="86"/>
    <w:family w:val="auto"/>
    <w:pitch w:val="default"/>
    <w:sig w:usb0="00000287" w:usb1="080F0000" w:usb2="00000000" w:usb3="00000000" w:csb0="0004009F" w:csb1="DFD70000"/>
    <w:embedRegular r:id="rId5" w:fontKey="{4AD06A38-60C5-42B2-A3B1-8D3C53F681CD}"/>
  </w:font>
  <w:font w:name="方正小标宋_GBK">
    <w:panose1 w:val="02000000000000000000"/>
    <w:charset w:val="86"/>
    <w:family w:val="script"/>
    <w:pitch w:val="default"/>
    <w:sig w:usb0="A00002BF" w:usb1="38CF7CFA" w:usb2="00082016" w:usb3="00000000" w:csb0="00040001" w:csb1="00000000"/>
    <w:embedRegular r:id="rId6" w:fontKey="{8C9A1653-1F6D-479A-A81B-8968E9443549}"/>
  </w:font>
  <w:font w:name="楷体_GB2312">
    <w:panose1 w:val="02010609030101010101"/>
    <w:charset w:val="86"/>
    <w:family w:val="modern"/>
    <w:pitch w:val="default"/>
    <w:sig w:usb0="00000001" w:usb1="080E0000" w:usb2="00000000" w:usb3="00000000" w:csb0="00040000" w:csb1="00000000"/>
    <w:embedRegular r:id="rId7" w:fontKey="{7F79DE9F-9532-4D7E-BE5B-C143F0F3D6AC}"/>
  </w:font>
  <w:font w:name="楷体">
    <w:panose1 w:val="02010609060101010101"/>
    <w:charset w:val="86"/>
    <w:family w:val="modern"/>
    <w:pitch w:val="default"/>
    <w:sig w:usb0="800002BF" w:usb1="38CF7CFA" w:usb2="00000016" w:usb3="00000000" w:csb0="00040001" w:csb1="00000000"/>
    <w:embedRegular r:id="rId8" w:fontKey="{2CA38CB2-4AEC-408F-BBD3-B491355344B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5364CC"/>
    <w:multiLevelType w:val="singleLevel"/>
    <w:tmpl w:val="C05364CC"/>
    <w:lvl w:ilvl="0" w:tentative="0">
      <w:start w:val="1"/>
      <w:numFmt w:val="chineseCounting"/>
      <w:suff w:val="nothing"/>
      <w:lvlText w:val="（%1）"/>
      <w:lvlJc w:val="left"/>
      <w:rPr>
        <w:rFonts w:hint="eastAsia"/>
      </w:rPr>
    </w:lvl>
  </w:abstractNum>
  <w:abstractNum w:abstractNumId="1">
    <w:nsid w:val="E98D6961"/>
    <w:multiLevelType w:val="singleLevel"/>
    <w:tmpl w:val="E98D6961"/>
    <w:lvl w:ilvl="0" w:tentative="0">
      <w:start w:val="1"/>
      <w:numFmt w:val="chineseCounting"/>
      <w:suff w:val="nothing"/>
      <w:lvlText w:val="（%1）"/>
      <w:lvlJc w:val="left"/>
      <w:rPr>
        <w:rFonts w:hint="eastAsia"/>
      </w:rPr>
    </w:lvl>
  </w:abstractNum>
  <w:abstractNum w:abstractNumId="2">
    <w:nsid w:val="542984EB"/>
    <w:multiLevelType w:val="singleLevel"/>
    <w:tmpl w:val="542984EB"/>
    <w:lvl w:ilvl="0" w:tentative="0">
      <w:start w:val="7"/>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dhODQyMDg0ODM5NjE4OTJiNTc0ZjAwN2RlMDdkOTYifQ=="/>
  </w:docVars>
  <w:rsids>
    <w:rsidRoot w:val="55FD02AD"/>
    <w:rsid w:val="024E06A7"/>
    <w:rsid w:val="0648625E"/>
    <w:rsid w:val="071D427C"/>
    <w:rsid w:val="0A315E45"/>
    <w:rsid w:val="0C69006A"/>
    <w:rsid w:val="0DD2557E"/>
    <w:rsid w:val="0DE03C9D"/>
    <w:rsid w:val="10F615C9"/>
    <w:rsid w:val="15094EAD"/>
    <w:rsid w:val="15095FBD"/>
    <w:rsid w:val="16F77107"/>
    <w:rsid w:val="18FD535F"/>
    <w:rsid w:val="19F35CA5"/>
    <w:rsid w:val="1BBC447B"/>
    <w:rsid w:val="1D9531D6"/>
    <w:rsid w:val="1DAA0909"/>
    <w:rsid w:val="1F7237CF"/>
    <w:rsid w:val="1FB33641"/>
    <w:rsid w:val="25DE142E"/>
    <w:rsid w:val="26395481"/>
    <w:rsid w:val="2C6C286C"/>
    <w:rsid w:val="2F2C534A"/>
    <w:rsid w:val="2F3B1E2F"/>
    <w:rsid w:val="32E20814"/>
    <w:rsid w:val="361A7822"/>
    <w:rsid w:val="39FC665F"/>
    <w:rsid w:val="3E095DB7"/>
    <w:rsid w:val="40F41E3E"/>
    <w:rsid w:val="4A9A3F86"/>
    <w:rsid w:val="4EA5148E"/>
    <w:rsid w:val="548E3F00"/>
    <w:rsid w:val="554644DC"/>
    <w:rsid w:val="55FD02AD"/>
    <w:rsid w:val="57AA2C22"/>
    <w:rsid w:val="5A0A2D54"/>
    <w:rsid w:val="5BF30E53"/>
    <w:rsid w:val="5F5A5DB1"/>
    <w:rsid w:val="62E0796A"/>
    <w:rsid w:val="67260F9A"/>
    <w:rsid w:val="67C3405B"/>
    <w:rsid w:val="6938626C"/>
    <w:rsid w:val="69554A42"/>
    <w:rsid w:val="69CB5582"/>
    <w:rsid w:val="6C394F56"/>
    <w:rsid w:val="71B96FD0"/>
    <w:rsid w:val="781C51FB"/>
    <w:rsid w:val="78743274"/>
    <w:rsid w:val="7B960623"/>
    <w:rsid w:val="7F1259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100" w:beforeAutospacing="1" w:after="100" w:afterAutospacing="1" w:line="360" w:lineRule="auto"/>
      <w:jc w:val="left"/>
      <w:outlineLvl w:val="0"/>
    </w:pPr>
    <w:rPr>
      <w:rFonts w:hint="eastAsia" w:ascii="宋体" w:hAnsi="宋体" w:eastAsia="宋体" w:cs="宋体"/>
      <w:b/>
      <w:kern w:val="44"/>
      <w:sz w:val="34"/>
      <w:szCs w:val="34"/>
      <w:lang w:val="en-US" w:eastAsia="zh-CN" w:bidi="ar"/>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szCs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pPr>
      <w:spacing w:beforeAutospacing="1" w:afterAutospacing="1"/>
      <w:jc w:val="left"/>
    </w:pPr>
    <w:rPr>
      <w:rFonts w:cs="Times New Roman"/>
      <w:kern w:val="0"/>
      <w:sz w:val="24"/>
    </w:rPr>
  </w:style>
  <w:style w:type="paragraph" w:styleId="6">
    <w:name w:val="Body Text First Indent 2"/>
    <w:autoRedefine/>
    <w:qFormat/>
    <w:uiPriority w:val="0"/>
    <w:pPr>
      <w:widowControl w:val="0"/>
      <w:ind w:left="200" w:leftChars="200" w:firstLine="200" w:firstLineChars="200"/>
      <w:jc w:val="both"/>
    </w:pPr>
    <w:rPr>
      <w:rFonts w:ascii="Times New Roman" w:hAnsi="Times New Roman" w:eastAsia="宋体" w:cs="Times New Roman"/>
      <w:kern w:val="2"/>
      <w:sz w:val="21"/>
      <w:szCs w:val="24"/>
      <w:lang w:val="en-US" w:eastAsia="zh-CN" w:bidi="ar-SA"/>
    </w:rPr>
  </w:style>
  <w:style w:type="character" w:customStyle="1" w:styleId="9">
    <w:name w:val="fontstyle11"/>
    <w:autoRedefine/>
    <w:qFormat/>
    <w:uiPriority w:val="0"/>
    <w:rPr>
      <w:rFonts w:hint="eastAsia" w:ascii="方正小标宋" w:eastAsia="方正小标宋"/>
      <w:color w:val="000000"/>
      <w:sz w:val="44"/>
      <w:szCs w:val="44"/>
    </w:rPr>
  </w:style>
  <w:style w:type="character" w:customStyle="1" w:styleId="10">
    <w:name w:val="fontstyle21"/>
    <w:autoRedefine/>
    <w:qFormat/>
    <w:uiPriority w:val="0"/>
    <w:rPr>
      <w:rFonts w:hint="eastAsia" w:ascii="仿宋_GB2312" w:eastAsia="仿宋_GB2312"/>
      <w:color w:val="000000"/>
      <w:sz w:val="32"/>
      <w:szCs w:val="32"/>
    </w:rPr>
  </w:style>
  <w:style w:type="character" w:customStyle="1" w:styleId="11">
    <w:name w:val="fontstyle51"/>
    <w:autoRedefine/>
    <w:qFormat/>
    <w:uiPriority w:val="0"/>
    <w:rPr>
      <w:rFonts w:hint="eastAsia" w:ascii="黑体" w:eastAsia="黑体"/>
      <w:color w:val="00000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2025-03-10T01:47:00Z</dcterms:created>
  <dc:creator>a little bird</dc:creator>
  <cp:lastModifiedBy>20170003</cp:lastModifiedBy>
  <cp:lastPrinted>2026-03-24T06:25:00Z</cp:lastPrinted>
  <dcterms:modified xsi:type="dcterms:W3CDTF">2026-06-04T01:26:33Z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8AAE1AFAE40742F299D08BCB5801C5D5_13</vt:lpwstr>
  </property>
</Properties>
</file>