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44"/>
          <w:szCs w:val="44"/>
        </w:rPr>
      </w:pPr>
    </w:p>
    <w:p>
      <w:pPr>
        <w:jc w:val="center"/>
        <w:rPr>
          <w:rFonts w:asciiTheme="minorEastAsia" w:hAnsiTheme="minorEastAsia"/>
          <w:b/>
          <w:sz w:val="44"/>
          <w:szCs w:val="44"/>
        </w:rPr>
      </w:pPr>
    </w:p>
    <w:p>
      <w:pPr>
        <w:jc w:val="center"/>
        <w:rPr>
          <w:rFonts w:asciiTheme="minorEastAsia" w:hAnsiTheme="minorEastAsia"/>
          <w:b/>
          <w:sz w:val="44"/>
          <w:szCs w:val="44"/>
        </w:rPr>
      </w:pPr>
    </w:p>
    <w:p>
      <w:pPr>
        <w:jc w:val="center"/>
        <w:rPr>
          <w:rFonts w:asciiTheme="minorEastAsia" w:hAnsiTheme="minorEastAsia"/>
          <w:b/>
          <w:sz w:val="44"/>
          <w:szCs w:val="44"/>
        </w:rPr>
      </w:pPr>
    </w:p>
    <w:p>
      <w:pPr>
        <w:jc w:val="center"/>
        <w:rPr>
          <w:rFonts w:ascii="方正小标宋简体" w:hAnsi="方正小标宋简体" w:eastAsia="方正小标宋简体" w:cs="方正小标宋简体"/>
          <w:bCs/>
          <w:sz w:val="56"/>
          <w:szCs w:val="56"/>
        </w:rPr>
      </w:pPr>
      <w:r>
        <w:rPr>
          <w:rFonts w:hint="eastAsia" w:ascii="方正小标宋简体" w:hAnsi="方正小标宋简体" w:eastAsia="方正小标宋简体" w:cs="方正小标宋简体"/>
          <w:bCs/>
          <w:sz w:val="56"/>
          <w:szCs w:val="56"/>
        </w:rPr>
        <w:t>北京青年政治学院</w:t>
      </w:r>
    </w:p>
    <w:p>
      <w:pPr>
        <w:jc w:val="center"/>
        <w:rPr>
          <w:rFonts w:ascii="方正小标宋简体" w:hAnsi="方正小标宋简体" w:eastAsia="方正小标宋简体" w:cs="方正小标宋简体"/>
          <w:bCs/>
          <w:sz w:val="56"/>
          <w:szCs w:val="56"/>
        </w:rPr>
      </w:pPr>
      <w:r>
        <w:rPr>
          <w:rFonts w:hint="eastAsia" w:ascii="方正小标宋简体" w:hAnsi="方正小标宋简体" w:eastAsia="方正小标宋简体" w:cs="方正小标宋简体"/>
          <w:bCs/>
          <w:sz w:val="56"/>
          <w:szCs w:val="56"/>
        </w:rPr>
        <w:t>专业评估报告</w:t>
      </w:r>
    </w:p>
    <w:p>
      <w:pPr>
        <w:jc w:val="center"/>
        <w:rPr>
          <w:rFonts w:asciiTheme="minorEastAsia" w:hAnsiTheme="minorEastAsia"/>
          <w:b/>
          <w:sz w:val="44"/>
          <w:szCs w:val="44"/>
        </w:rPr>
      </w:pPr>
    </w:p>
    <w:p>
      <w:pPr>
        <w:jc w:val="center"/>
        <w:rPr>
          <w:rFonts w:asciiTheme="minorEastAsia" w:hAnsiTheme="minorEastAsia"/>
          <w:b/>
          <w:sz w:val="44"/>
          <w:szCs w:val="44"/>
        </w:rPr>
      </w:pPr>
    </w:p>
    <w:p>
      <w:pPr>
        <w:jc w:val="center"/>
        <w:rPr>
          <w:rFonts w:asciiTheme="minorEastAsia" w:hAnsiTheme="minorEastAsia"/>
          <w:b/>
          <w:sz w:val="44"/>
          <w:szCs w:val="44"/>
        </w:rPr>
      </w:pPr>
    </w:p>
    <w:p>
      <w:pPr>
        <w:spacing w:before="240" w:line="720" w:lineRule="auto"/>
        <w:ind w:left="840" w:leftChars="400"/>
        <w:rPr>
          <w:rFonts w:asciiTheme="minorEastAsia" w:hAnsiTheme="minorEastAsia"/>
          <w:b/>
          <w:sz w:val="44"/>
          <w:szCs w:val="44"/>
        </w:rPr>
      </w:pPr>
      <w:r>
        <w:rPr>
          <w:rFonts w:hint="eastAsia" w:asciiTheme="minorEastAsia" w:hAnsiTheme="minorEastAsia"/>
          <w:b/>
          <w:sz w:val="44"/>
          <w:szCs w:val="44"/>
        </w:rPr>
        <w:t xml:space="preserve">专 业 </w:t>
      </w:r>
      <w:r>
        <w:rPr>
          <w:rFonts w:asciiTheme="minorEastAsia" w:hAnsiTheme="minorEastAsia"/>
          <w:b/>
          <w:sz w:val="44"/>
          <w:szCs w:val="44"/>
        </w:rPr>
        <w:t>名</w:t>
      </w:r>
      <w:r>
        <w:rPr>
          <w:rFonts w:hint="eastAsia" w:asciiTheme="minorEastAsia" w:hAnsiTheme="minorEastAsia"/>
          <w:b/>
          <w:sz w:val="44"/>
          <w:szCs w:val="44"/>
        </w:rPr>
        <w:t xml:space="preserve"> </w:t>
      </w:r>
      <w:r>
        <w:rPr>
          <w:rFonts w:asciiTheme="minorEastAsia" w:hAnsiTheme="minorEastAsia"/>
          <w:b/>
          <w:sz w:val="44"/>
          <w:szCs w:val="44"/>
        </w:rPr>
        <w:t>称：</w:t>
      </w:r>
    </w:p>
    <w:p>
      <w:pPr>
        <w:spacing w:before="240" w:line="720" w:lineRule="auto"/>
        <w:ind w:left="840" w:leftChars="400"/>
        <w:rPr>
          <w:rFonts w:asciiTheme="minorEastAsia" w:hAnsiTheme="minorEastAsia"/>
          <w:b/>
          <w:sz w:val="44"/>
          <w:szCs w:val="44"/>
        </w:rPr>
      </w:pPr>
      <w:r>
        <w:rPr>
          <w:rFonts w:hint="eastAsia" w:asciiTheme="minorEastAsia" w:hAnsiTheme="minorEastAsia"/>
          <w:b/>
          <w:sz w:val="44"/>
          <w:szCs w:val="44"/>
        </w:rPr>
        <w:t xml:space="preserve">专 业 </w:t>
      </w:r>
      <w:r>
        <w:rPr>
          <w:rFonts w:asciiTheme="minorEastAsia" w:hAnsiTheme="minorEastAsia"/>
          <w:b/>
          <w:sz w:val="44"/>
          <w:szCs w:val="44"/>
        </w:rPr>
        <w:t>代</w:t>
      </w:r>
      <w:r>
        <w:rPr>
          <w:rFonts w:hint="eastAsia" w:asciiTheme="minorEastAsia" w:hAnsiTheme="minorEastAsia"/>
          <w:b/>
          <w:sz w:val="44"/>
          <w:szCs w:val="44"/>
        </w:rPr>
        <w:t xml:space="preserve"> </w:t>
      </w:r>
      <w:r>
        <w:rPr>
          <w:rFonts w:asciiTheme="minorEastAsia" w:hAnsiTheme="minorEastAsia"/>
          <w:b/>
          <w:sz w:val="44"/>
          <w:szCs w:val="44"/>
        </w:rPr>
        <w:t>码：</w:t>
      </w:r>
    </w:p>
    <w:p>
      <w:pPr>
        <w:spacing w:before="240" w:line="720" w:lineRule="auto"/>
        <w:ind w:left="840" w:leftChars="400"/>
        <w:rPr>
          <w:rFonts w:asciiTheme="minorEastAsia" w:hAnsiTheme="minorEastAsia"/>
          <w:b/>
          <w:sz w:val="44"/>
          <w:szCs w:val="44"/>
        </w:rPr>
      </w:pPr>
      <w:r>
        <w:rPr>
          <w:rFonts w:hint="eastAsia" w:asciiTheme="minorEastAsia" w:hAnsiTheme="minorEastAsia"/>
          <w:b/>
          <w:sz w:val="44"/>
          <w:szCs w:val="44"/>
        </w:rPr>
        <w:t xml:space="preserve">所 在 </w:t>
      </w:r>
      <w:r>
        <w:rPr>
          <w:rFonts w:asciiTheme="minorEastAsia" w:hAnsiTheme="minorEastAsia"/>
          <w:b/>
          <w:sz w:val="44"/>
          <w:szCs w:val="44"/>
        </w:rPr>
        <w:t>学</w:t>
      </w:r>
      <w:r>
        <w:rPr>
          <w:rFonts w:hint="eastAsia" w:asciiTheme="minorEastAsia" w:hAnsiTheme="minorEastAsia"/>
          <w:b/>
          <w:sz w:val="44"/>
          <w:szCs w:val="44"/>
        </w:rPr>
        <w:t xml:space="preserve"> </w:t>
      </w:r>
      <w:r>
        <w:rPr>
          <w:rFonts w:asciiTheme="minorEastAsia" w:hAnsiTheme="minorEastAsia"/>
          <w:b/>
          <w:sz w:val="44"/>
          <w:szCs w:val="44"/>
        </w:rPr>
        <w:t>院：</w:t>
      </w:r>
    </w:p>
    <w:p>
      <w:pPr>
        <w:spacing w:line="600" w:lineRule="auto"/>
        <w:jc w:val="center"/>
        <w:rPr>
          <w:rFonts w:asciiTheme="minorEastAsia" w:hAnsiTheme="minorEastAsia"/>
          <w:b/>
          <w:sz w:val="36"/>
          <w:szCs w:val="36"/>
        </w:rPr>
      </w:pPr>
    </w:p>
    <w:p>
      <w:pPr>
        <w:spacing w:line="600" w:lineRule="auto"/>
        <w:jc w:val="center"/>
        <w:rPr>
          <w:rFonts w:asciiTheme="minorEastAsia" w:hAnsiTheme="minorEastAsia"/>
          <w:b/>
          <w:sz w:val="36"/>
          <w:szCs w:val="36"/>
        </w:rPr>
      </w:pPr>
      <w:r>
        <w:rPr>
          <w:rFonts w:hint="eastAsia" w:asciiTheme="minorEastAsia" w:hAnsiTheme="minorEastAsia"/>
          <w:b/>
          <w:sz w:val="36"/>
          <w:szCs w:val="36"/>
        </w:rPr>
        <w:t xml:space="preserve"> </w:t>
      </w:r>
    </w:p>
    <w:p>
      <w:pPr>
        <w:spacing w:line="600" w:lineRule="auto"/>
        <w:jc w:val="center"/>
        <w:rPr>
          <w:rFonts w:asciiTheme="minorEastAsia" w:hAnsiTheme="minorEastAsia"/>
          <w:b/>
          <w:sz w:val="30"/>
          <w:szCs w:val="30"/>
        </w:rPr>
      </w:pPr>
      <w:r>
        <w:rPr>
          <w:rFonts w:hint="eastAsia" w:asciiTheme="minorEastAsia" w:hAnsiTheme="minorEastAsia"/>
          <w:b/>
          <w:sz w:val="36"/>
          <w:szCs w:val="36"/>
        </w:rPr>
        <w:t xml:space="preserve">年    </w:t>
      </w:r>
      <w:r>
        <w:rPr>
          <w:rFonts w:asciiTheme="minorEastAsia" w:hAnsiTheme="minorEastAsia"/>
          <w:b/>
          <w:sz w:val="36"/>
          <w:szCs w:val="36"/>
        </w:rPr>
        <w:t>月</w:t>
      </w:r>
      <w:r>
        <w:rPr>
          <w:rFonts w:hint="eastAsia" w:asciiTheme="minorEastAsia" w:hAnsiTheme="minorEastAsia"/>
          <w:b/>
          <w:sz w:val="36"/>
          <w:szCs w:val="36"/>
        </w:rPr>
        <w:t xml:space="preserve">    日</w:t>
      </w:r>
    </w:p>
    <w:p>
      <w:pPr>
        <w:widowControl/>
        <w:jc w:val="left"/>
        <w:rPr>
          <w:rFonts w:asciiTheme="minorEastAsia" w:hAnsiTheme="minorEastAsia"/>
          <w:b/>
          <w:sz w:val="44"/>
          <w:szCs w:val="44"/>
        </w:rPr>
      </w:pPr>
      <w:r>
        <w:rPr>
          <w:rFonts w:asciiTheme="minorEastAsia" w:hAnsiTheme="minorEastAsia"/>
          <w:b/>
          <w:sz w:val="44"/>
          <w:szCs w:val="44"/>
        </w:rPr>
        <w:br w:type="page"/>
      </w:r>
    </w:p>
    <w:p>
      <w:pPr>
        <w:rPr>
          <w:rFonts w:asciiTheme="minorEastAsia" w:hAnsiTheme="minorEastAsia"/>
          <w:b/>
          <w:sz w:val="44"/>
          <w:szCs w:val="44"/>
        </w:rPr>
        <w:sectPr>
          <w:footerReference r:id="rId3" w:type="default"/>
          <w:pgSz w:w="11906" w:h="16838"/>
          <w:pgMar w:top="1440" w:right="1800" w:bottom="1440" w:left="1800" w:header="851" w:footer="992" w:gutter="0"/>
          <w:cols w:space="425" w:num="1"/>
          <w:titlePg/>
          <w:docGrid w:type="lines" w:linePitch="312" w:charSpace="0"/>
        </w:sectPr>
      </w:pPr>
    </w:p>
    <w:p>
      <w:pPr>
        <w:jc w:val="center"/>
        <w:rPr>
          <w:sz w:val="28"/>
          <w:szCs w:val="28"/>
        </w:rPr>
      </w:pPr>
      <w:r>
        <w:rPr>
          <w:rFonts w:hint="eastAsia"/>
          <w:sz w:val="28"/>
          <w:szCs w:val="28"/>
        </w:rPr>
        <w:t>北京</w:t>
      </w:r>
      <w:r>
        <w:rPr>
          <w:sz w:val="28"/>
          <w:szCs w:val="28"/>
        </w:rPr>
        <w:t>青年政治学院</w:t>
      </w:r>
      <w:r>
        <w:rPr>
          <w:rFonts w:hint="eastAsia"/>
          <w:sz w:val="28"/>
          <w:szCs w:val="28"/>
        </w:rPr>
        <w:t>专业</w:t>
      </w:r>
      <w:r>
        <w:rPr>
          <w:sz w:val="28"/>
          <w:szCs w:val="28"/>
        </w:rPr>
        <w:t>评估</w:t>
      </w:r>
      <w:r>
        <w:rPr>
          <w:rFonts w:hint="eastAsia"/>
          <w:sz w:val="28"/>
          <w:szCs w:val="28"/>
        </w:rPr>
        <w:t>自评</w:t>
      </w:r>
      <w:r>
        <w:rPr>
          <w:sz w:val="28"/>
          <w:szCs w:val="28"/>
        </w:rPr>
        <w:t>表</w:t>
      </w:r>
      <w:r>
        <w:rPr>
          <w:rFonts w:hint="eastAsia"/>
          <w:sz w:val="28"/>
          <w:szCs w:val="28"/>
        </w:rPr>
        <w:t>（共</w:t>
      </w:r>
      <w:r>
        <w:rPr>
          <w:sz w:val="28"/>
          <w:szCs w:val="28"/>
        </w:rPr>
        <w:t>1000</w:t>
      </w:r>
      <w:r>
        <w:rPr>
          <w:rFonts w:hint="eastAsia"/>
          <w:sz w:val="28"/>
          <w:szCs w:val="28"/>
        </w:rPr>
        <w:t>分）</w:t>
      </w:r>
    </w:p>
    <w:tbl>
      <w:tblPr>
        <w:tblStyle w:val="8"/>
        <w:tblW w:w="14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5500"/>
        <w:gridCol w:w="5710"/>
        <w:gridCol w:w="1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96" w:type="dxa"/>
            <w:vAlign w:val="center"/>
          </w:tcPr>
          <w:p>
            <w:pPr>
              <w:jc w:val="center"/>
              <w:rPr>
                <w:rFonts w:ascii="楷体" w:hAnsi="楷体" w:eastAsia="楷体" w:cs="楷体"/>
                <w:b/>
                <w:bCs/>
                <w:sz w:val="24"/>
                <w:szCs w:val="24"/>
              </w:rPr>
            </w:pPr>
            <w:r>
              <w:rPr>
                <w:rFonts w:hint="eastAsia" w:ascii="楷体" w:hAnsi="楷体" w:eastAsia="楷体" w:cs="楷体"/>
                <w:b/>
                <w:bCs/>
                <w:sz w:val="24"/>
                <w:szCs w:val="24"/>
              </w:rPr>
              <w:t>评估指标</w:t>
            </w:r>
          </w:p>
        </w:tc>
        <w:tc>
          <w:tcPr>
            <w:tcW w:w="5500" w:type="dxa"/>
            <w:vAlign w:val="center"/>
          </w:tcPr>
          <w:p>
            <w:pPr>
              <w:jc w:val="center"/>
              <w:rPr>
                <w:rFonts w:ascii="楷体" w:hAnsi="楷体" w:eastAsia="楷体" w:cs="楷体"/>
                <w:b/>
                <w:bCs/>
                <w:sz w:val="24"/>
                <w:szCs w:val="24"/>
              </w:rPr>
            </w:pPr>
            <w:r>
              <w:rPr>
                <w:rFonts w:hint="eastAsia" w:ascii="楷体" w:hAnsi="楷体" w:eastAsia="楷体" w:cs="楷体"/>
                <w:b/>
                <w:bCs/>
                <w:sz w:val="24"/>
                <w:szCs w:val="24"/>
              </w:rPr>
              <w:t>具体</w:t>
            </w:r>
            <w:r>
              <w:rPr>
                <w:rFonts w:ascii="楷体" w:hAnsi="楷体" w:eastAsia="楷体" w:cs="楷体"/>
                <w:b/>
                <w:bCs/>
                <w:sz w:val="24"/>
                <w:szCs w:val="24"/>
              </w:rPr>
              <w:t>观测点</w:t>
            </w:r>
          </w:p>
        </w:tc>
        <w:tc>
          <w:tcPr>
            <w:tcW w:w="5710" w:type="dxa"/>
            <w:vAlign w:val="center"/>
          </w:tcPr>
          <w:p>
            <w:pPr>
              <w:jc w:val="center"/>
              <w:rPr>
                <w:rFonts w:ascii="楷体" w:hAnsi="楷体" w:eastAsia="楷体" w:cs="楷体"/>
                <w:b/>
                <w:bCs/>
                <w:sz w:val="24"/>
                <w:szCs w:val="24"/>
              </w:rPr>
            </w:pPr>
            <w:r>
              <w:rPr>
                <w:rFonts w:hint="eastAsia" w:ascii="楷体" w:hAnsi="楷体" w:eastAsia="楷体" w:cs="楷体"/>
                <w:b/>
                <w:bCs/>
                <w:sz w:val="24"/>
                <w:szCs w:val="24"/>
              </w:rPr>
              <w:t>评分参考</w:t>
            </w:r>
          </w:p>
        </w:tc>
        <w:tc>
          <w:tcPr>
            <w:tcW w:w="1253" w:type="dxa"/>
            <w:vAlign w:val="center"/>
          </w:tcPr>
          <w:p>
            <w:pPr>
              <w:jc w:val="center"/>
              <w:rPr>
                <w:rFonts w:ascii="楷体" w:hAnsi="楷体" w:eastAsia="楷体" w:cs="楷体"/>
                <w:b/>
                <w:bCs/>
                <w:sz w:val="24"/>
                <w:szCs w:val="24"/>
              </w:rPr>
            </w:pPr>
            <w:r>
              <w:rPr>
                <w:rFonts w:hint="eastAsia" w:ascii="楷体" w:hAnsi="楷体" w:eastAsia="楷体" w:cs="楷体"/>
                <w:b/>
                <w:bCs/>
                <w:sz w:val="24"/>
                <w:szCs w:val="24"/>
              </w:rPr>
              <w:t>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pPr>
              <w:jc w:val="center"/>
              <w:rPr>
                <w:rFonts w:ascii="楷体" w:hAnsi="楷体" w:eastAsia="楷体" w:cs="楷体"/>
                <w:b/>
                <w:sz w:val="24"/>
                <w:szCs w:val="24"/>
              </w:rPr>
            </w:pPr>
            <w:r>
              <w:rPr>
                <w:rFonts w:hint="eastAsia" w:ascii="楷体" w:hAnsi="楷体" w:eastAsia="楷体" w:cs="楷体"/>
                <w:b/>
                <w:sz w:val="24"/>
                <w:szCs w:val="24"/>
              </w:rPr>
              <w:t>专业定位</w:t>
            </w:r>
          </w:p>
          <w:p>
            <w:pPr>
              <w:jc w:val="center"/>
              <w:rPr>
                <w:rFonts w:ascii="楷体" w:hAnsi="楷体" w:eastAsia="楷体" w:cs="楷体"/>
                <w:b/>
                <w:sz w:val="24"/>
                <w:szCs w:val="24"/>
              </w:rPr>
            </w:pPr>
            <w:r>
              <w:rPr>
                <w:rFonts w:hint="eastAsia" w:ascii="楷体" w:hAnsi="楷体" w:eastAsia="楷体" w:cs="楷体"/>
                <w:b/>
                <w:sz w:val="24"/>
                <w:szCs w:val="24"/>
              </w:rPr>
              <w:t>（10分）</w:t>
            </w:r>
          </w:p>
        </w:tc>
        <w:tc>
          <w:tcPr>
            <w:tcW w:w="5500" w:type="dxa"/>
            <w:vAlign w:val="center"/>
          </w:tcPr>
          <w:p>
            <w:r>
              <w:rPr>
                <w:rFonts w:hint="eastAsia"/>
              </w:rPr>
              <w:t>符合首都“四个中心”城市战略定位；</w:t>
            </w:r>
          </w:p>
          <w:p>
            <w:pPr>
              <w:rPr>
                <w:rFonts w:ascii="楷体" w:hAnsi="楷体" w:eastAsia="楷体" w:cs="楷体"/>
                <w:sz w:val="24"/>
                <w:szCs w:val="24"/>
              </w:rPr>
            </w:pPr>
            <w:r>
              <w:rPr>
                <w:rFonts w:hint="eastAsia"/>
              </w:rPr>
              <w:t>符合首都产业转型升级、城市建设与管理、高品质民生需求。</w:t>
            </w:r>
          </w:p>
        </w:tc>
        <w:tc>
          <w:tcPr>
            <w:tcW w:w="5710" w:type="dxa"/>
          </w:tcPr>
          <w:p>
            <w:r>
              <w:rPr>
                <w:rFonts w:hint="eastAsia"/>
              </w:rPr>
              <w:t>高度符合（7</w:t>
            </w:r>
            <w:r>
              <w:t>-10</w:t>
            </w:r>
            <w:r>
              <w:rPr>
                <w:rFonts w:hint="eastAsia"/>
              </w:rPr>
              <w:t>分）；</w:t>
            </w:r>
          </w:p>
          <w:p>
            <w:r>
              <w:rPr>
                <w:rFonts w:hint="eastAsia"/>
              </w:rPr>
              <w:t>较为符合（3</w:t>
            </w:r>
            <w:r>
              <w:t>-6</w:t>
            </w:r>
            <w:r>
              <w:rPr>
                <w:rFonts w:hint="eastAsia"/>
              </w:rPr>
              <w:t>分）；</w:t>
            </w:r>
          </w:p>
          <w:p>
            <w:r>
              <w:rPr>
                <w:rFonts w:hint="eastAsia"/>
              </w:rPr>
              <w:t>基本符合但就业情况良好（7</w:t>
            </w:r>
            <w:r>
              <w:t>-10</w:t>
            </w:r>
            <w:r>
              <w:rPr>
                <w:rFonts w:hint="eastAsia"/>
              </w:rPr>
              <w:t>分）；</w:t>
            </w:r>
          </w:p>
          <w:p>
            <w:r>
              <w:rPr>
                <w:rFonts w:hint="eastAsia"/>
              </w:rPr>
              <w:t>基本不符合（0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专业建设机制</w:t>
            </w:r>
          </w:p>
          <w:p>
            <w:pPr>
              <w:jc w:val="center"/>
              <w:rPr>
                <w:rFonts w:ascii="楷体" w:hAnsi="楷体" w:eastAsia="楷体" w:cs="楷体"/>
                <w:b/>
                <w:sz w:val="24"/>
                <w:szCs w:val="24"/>
              </w:rPr>
            </w:pPr>
            <w:r>
              <w:rPr>
                <w:rFonts w:hint="eastAsia" w:ascii="楷体" w:hAnsi="楷体" w:eastAsia="楷体" w:cs="楷体"/>
                <w:b/>
                <w:sz w:val="24"/>
                <w:szCs w:val="24"/>
              </w:rPr>
              <w:t>（60分）</w:t>
            </w:r>
          </w:p>
        </w:tc>
        <w:tc>
          <w:tcPr>
            <w:tcW w:w="5500" w:type="dxa"/>
            <w:vAlign w:val="center"/>
          </w:tcPr>
          <w:p>
            <w:r>
              <w:rPr>
                <w:rFonts w:hint="eastAsia"/>
              </w:rPr>
              <w:t>专业建设质量保障机制情况（如专业建设指导委员会活动记录与工作效果、专业建设措施得力等）（1</w:t>
            </w:r>
            <w:r>
              <w:t>0</w:t>
            </w:r>
            <w:r>
              <w:rPr>
                <w:rFonts w:hint="eastAsia"/>
              </w:rPr>
              <w:t>分）</w:t>
            </w:r>
          </w:p>
        </w:tc>
        <w:tc>
          <w:tcPr>
            <w:tcW w:w="5710" w:type="dxa"/>
          </w:tcPr>
          <w:p>
            <w:r>
              <w:rPr>
                <w:rFonts w:hint="eastAsia"/>
              </w:rPr>
              <w:t>机制健全，保障有力，专业方向越来越明确，人才培养质量不断提升，就业率高且稳定（</w:t>
            </w:r>
            <w:r>
              <w:t>7-10</w:t>
            </w:r>
            <w:r>
              <w:rPr>
                <w:rFonts w:hint="eastAsia"/>
              </w:rPr>
              <w:t>分）；机制健全，对专业建设起到了较好指导作用，专业综合实力越来越强（5</w:t>
            </w:r>
            <w:r>
              <w:t>-6</w:t>
            </w:r>
            <w:r>
              <w:rPr>
                <w:rFonts w:hint="eastAsia"/>
              </w:rPr>
              <w:t>分）；机制基本健全，但未能充分发挥作用，专业建设滞后于人才市场需求变化，就业率偏低（3</w:t>
            </w:r>
            <w:r>
              <w:t>-4</w:t>
            </w:r>
            <w:r>
              <w:rPr>
                <w:rFonts w:hint="eastAsia"/>
              </w:rPr>
              <w:t>分）；机制不健全，专业建设管理松懈，培养质量无法得到保障（0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1696" w:type="dxa"/>
            <w:vMerge w:val="continue"/>
            <w:vAlign w:val="center"/>
          </w:tcPr>
          <w:p>
            <w:pPr>
              <w:jc w:val="left"/>
              <w:rPr>
                <w:rFonts w:ascii="楷体" w:hAnsi="楷体" w:eastAsia="楷体" w:cs="楷体"/>
                <w:sz w:val="24"/>
                <w:szCs w:val="24"/>
              </w:rPr>
            </w:pPr>
          </w:p>
        </w:tc>
        <w:tc>
          <w:tcPr>
            <w:tcW w:w="5500" w:type="dxa"/>
            <w:vAlign w:val="center"/>
          </w:tcPr>
          <w:p>
            <w:r>
              <w:rPr>
                <w:rFonts w:hint="eastAsia"/>
              </w:rPr>
              <w:t>本专业最近一次围绕专业定位、人才培养</w:t>
            </w:r>
            <w:r>
              <w:t>目标</w:t>
            </w:r>
            <w:r>
              <w:rPr>
                <w:rFonts w:hint="eastAsia"/>
              </w:rPr>
              <w:t>、</w:t>
            </w:r>
            <w:r>
              <w:t>职业面向、主要专业能力要求、主要专业课程与实习实训</w:t>
            </w:r>
            <w:r>
              <w:rPr>
                <w:rFonts w:hint="eastAsia"/>
              </w:rPr>
              <w:t>等</w:t>
            </w:r>
            <w:r>
              <w:t>方面</w:t>
            </w:r>
            <w:r>
              <w:rPr>
                <w:rFonts w:hint="eastAsia"/>
              </w:rPr>
              <w:t>开展专业建设全面调研的情况；本次调研对推进专业建设、全面改进人才培养工作所起到的作用（</w:t>
            </w:r>
            <w:r>
              <w:t>20</w:t>
            </w:r>
            <w:r>
              <w:rPr>
                <w:rFonts w:hint="eastAsia"/>
              </w:rPr>
              <w:t>分）</w:t>
            </w:r>
          </w:p>
        </w:tc>
        <w:tc>
          <w:tcPr>
            <w:tcW w:w="5710" w:type="dxa"/>
          </w:tcPr>
          <w:p>
            <w:r>
              <w:rPr>
                <w:rFonts w:hint="eastAsia"/>
              </w:rPr>
              <w:t>开展过，起到非常好的作用（1</w:t>
            </w:r>
            <w:r>
              <w:t>5-20</w:t>
            </w:r>
            <w:r>
              <w:rPr>
                <w:rFonts w:hint="eastAsia"/>
              </w:rPr>
              <w:t>分）；</w:t>
            </w:r>
          </w:p>
          <w:p>
            <w:r>
              <w:rPr>
                <w:rFonts w:hint="eastAsia"/>
              </w:rPr>
              <w:t>开展过，作用较好（1</w:t>
            </w:r>
            <w:r>
              <w:t>0-14</w:t>
            </w:r>
            <w:r>
              <w:rPr>
                <w:rFonts w:hint="eastAsia"/>
              </w:rPr>
              <w:t>分）；</w:t>
            </w:r>
          </w:p>
          <w:p>
            <w:r>
              <w:rPr>
                <w:rFonts w:hint="eastAsia"/>
              </w:rPr>
              <w:t>开展过，作用甚微（5</w:t>
            </w:r>
            <w:r>
              <w:t>-9</w:t>
            </w:r>
            <w:r>
              <w:rPr>
                <w:rFonts w:hint="eastAsia"/>
              </w:rPr>
              <w:t>分）；</w:t>
            </w:r>
          </w:p>
          <w:p>
            <w:r>
              <w:rPr>
                <w:rFonts w:hint="eastAsia"/>
              </w:rPr>
              <w:t>没有开展过（0</w:t>
            </w:r>
            <w:r>
              <w:t>-4</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696" w:type="dxa"/>
            <w:vMerge w:val="continue"/>
            <w:vAlign w:val="center"/>
          </w:tcPr>
          <w:p>
            <w:pPr>
              <w:jc w:val="left"/>
              <w:rPr>
                <w:rFonts w:ascii="楷体" w:hAnsi="楷体" w:eastAsia="楷体" w:cs="楷体"/>
                <w:sz w:val="24"/>
                <w:szCs w:val="24"/>
              </w:rPr>
            </w:pPr>
          </w:p>
        </w:tc>
        <w:tc>
          <w:tcPr>
            <w:tcW w:w="5500" w:type="dxa"/>
            <w:vAlign w:val="center"/>
          </w:tcPr>
          <w:p>
            <w:r>
              <w:rPr>
                <w:rFonts w:hint="eastAsia"/>
              </w:rPr>
              <w:t>本专业最近一次针对往届毕业生的就业满意度、职业稳定性、平均薪资等的专项调研开展情况，重点是调研方法、调研过程、调研结果及其应用（1</w:t>
            </w:r>
            <w:r>
              <w:t>0</w:t>
            </w:r>
            <w:r>
              <w:rPr>
                <w:rFonts w:hint="eastAsia"/>
              </w:rPr>
              <w:t>分）</w:t>
            </w:r>
          </w:p>
        </w:tc>
        <w:tc>
          <w:tcPr>
            <w:tcW w:w="5710" w:type="dxa"/>
          </w:tcPr>
          <w:p>
            <w:r>
              <w:rPr>
                <w:rFonts w:hint="eastAsia"/>
              </w:rPr>
              <w:t>开展过，起到非常好的作用（7</w:t>
            </w:r>
            <w:r>
              <w:t>-10</w:t>
            </w:r>
            <w:r>
              <w:rPr>
                <w:rFonts w:hint="eastAsia"/>
              </w:rPr>
              <w:t>分）；</w:t>
            </w:r>
          </w:p>
          <w:p>
            <w:r>
              <w:rPr>
                <w:rFonts w:hint="eastAsia"/>
              </w:rPr>
              <w:t>开展过，较好作用（</w:t>
            </w:r>
            <w:r>
              <w:t>5-6</w:t>
            </w:r>
            <w:r>
              <w:rPr>
                <w:rFonts w:hint="eastAsia"/>
              </w:rPr>
              <w:t>分）；</w:t>
            </w:r>
          </w:p>
          <w:p>
            <w:r>
              <w:rPr>
                <w:rFonts w:hint="eastAsia"/>
              </w:rPr>
              <w:t>开展过，作用甚微（3</w:t>
            </w:r>
            <w:r>
              <w:t>-4</w:t>
            </w:r>
            <w:r>
              <w:rPr>
                <w:rFonts w:hint="eastAsia"/>
              </w:rPr>
              <w:t>分）；</w:t>
            </w:r>
          </w:p>
          <w:p>
            <w:r>
              <w:rPr>
                <w:rFonts w:hint="eastAsia"/>
              </w:rPr>
              <w:t>没有开展过（0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本专业最近一次针对用人单位开展的专项调研（</w:t>
            </w:r>
            <w:r>
              <w:t>人才培养目标达成情况、就业质量和服务贡献</w:t>
            </w:r>
            <w:r>
              <w:rPr>
                <w:rFonts w:hint="eastAsia"/>
              </w:rPr>
              <w:t>）的基本情况，重点是调研方法、调研过程、调研结果及其应用（1</w:t>
            </w:r>
            <w:r>
              <w:t>0</w:t>
            </w:r>
            <w:r>
              <w:rPr>
                <w:rFonts w:hint="eastAsia"/>
              </w:rPr>
              <w:t>分）</w:t>
            </w:r>
          </w:p>
        </w:tc>
        <w:tc>
          <w:tcPr>
            <w:tcW w:w="5710" w:type="dxa"/>
          </w:tcPr>
          <w:p>
            <w:r>
              <w:rPr>
                <w:rFonts w:hint="eastAsia"/>
              </w:rPr>
              <w:t>开展过，起到非常好的作用（7</w:t>
            </w:r>
            <w:r>
              <w:t>-10</w:t>
            </w:r>
            <w:r>
              <w:rPr>
                <w:rFonts w:hint="eastAsia"/>
              </w:rPr>
              <w:t>分）；</w:t>
            </w:r>
          </w:p>
          <w:p>
            <w:r>
              <w:rPr>
                <w:rFonts w:hint="eastAsia"/>
              </w:rPr>
              <w:t>开展过，较好作用（</w:t>
            </w:r>
            <w:r>
              <w:t>5-6</w:t>
            </w:r>
            <w:r>
              <w:rPr>
                <w:rFonts w:hint="eastAsia"/>
              </w:rPr>
              <w:t>分）；</w:t>
            </w:r>
          </w:p>
          <w:p>
            <w:r>
              <w:rPr>
                <w:rFonts w:hint="eastAsia"/>
              </w:rPr>
              <w:t>开展过，作用甚微（3</w:t>
            </w:r>
            <w:r>
              <w:t>-4</w:t>
            </w:r>
            <w:r>
              <w:rPr>
                <w:rFonts w:hint="eastAsia"/>
              </w:rPr>
              <w:t>分）；</w:t>
            </w:r>
          </w:p>
          <w:p>
            <w:r>
              <w:rPr>
                <w:rFonts w:hint="eastAsia"/>
              </w:rPr>
              <w:t>没有开展过（0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本专业在毕业生离校前开展针对专业建设和人才培养问题的调研活动（包括召开座谈会征集意见）（1</w:t>
            </w:r>
            <w:r>
              <w:t>0</w:t>
            </w:r>
            <w:r>
              <w:rPr>
                <w:rFonts w:hint="eastAsia"/>
              </w:rPr>
              <w:t>分）</w:t>
            </w:r>
          </w:p>
        </w:tc>
        <w:tc>
          <w:tcPr>
            <w:tcW w:w="5710" w:type="dxa"/>
          </w:tcPr>
          <w:p>
            <w:r>
              <w:rPr>
                <w:rFonts w:hint="eastAsia"/>
              </w:rPr>
              <w:t>开展过，起到非常好的作用（7</w:t>
            </w:r>
            <w:r>
              <w:t>-10</w:t>
            </w:r>
            <w:r>
              <w:rPr>
                <w:rFonts w:hint="eastAsia"/>
              </w:rPr>
              <w:t>分）；</w:t>
            </w:r>
          </w:p>
          <w:p>
            <w:r>
              <w:rPr>
                <w:rFonts w:hint="eastAsia"/>
              </w:rPr>
              <w:t>开展过，较好作用（</w:t>
            </w:r>
            <w:r>
              <w:t>5-6</w:t>
            </w:r>
            <w:r>
              <w:rPr>
                <w:rFonts w:hint="eastAsia"/>
              </w:rPr>
              <w:t>分）；</w:t>
            </w:r>
          </w:p>
          <w:p>
            <w:r>
              <w:rPr>
                <w:rFonts w:hint="eastAsia"/>
              </w:rPr>
              <w:t>开展过，作用甚微（3</w:t>
            </w:r>
            <w:r>
              <w:t>-4</w:t>
            </w:r>
            <w:r>
              <w:rPr>
                <w:rFonts w:hint="eastAsia"/>
              </w:rPr>
              <w:t>分）；</w:t>
            </w:r>
          </w:p>
          <w:p>
            <w:r>
              <w:rPr>
                <w:rFonts w:hint="eastAsia"/>
              </w:rPr>
              <w:t>没有开展过（0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专业群建设</w:t>
            </w:r>
          </w:p>
          <w:p>
            <w:pPr>
              <w:jc w:val="center"/>
              <w:rPr>
                <w:rFonts w:ascii="楷体" w:hAnsi="楷体" w:eastAsia="楷体" w:cs="楷体"/>
                <w:b/>
                <w:sz w:val="24"/>
                <w:szCs w:val="24"/>
              </w:rPr>
            </w:pPr>
            <w:r>
              <w:rPr>
                <w:rFonts w:hint="eastAsia" w:ascii="楷体" w:hAnsi="楷体" w:eastAsia="楷体" w:cs="楷体"/>
                <w:b/>
                <w:sz w:val="24"/>
                <w:szCs w:val="24"/>
              </w:rPr>
              <w:t>（30分）</w:t>
            </w:r>
          </w:p>
        </w:tc>
        <w:tc>
          <w:tcPr>
            <w:tcW w:w="5500" w:type="dxa"/>
            <w:vAlign w:val="center"/>
          </w:tcPr>
          <w:p>
            <w:r>
              <w:rPr>
                <w:rFonts w:hint="eastAsia"/>
              </w:rPr>
              <w:t>本专业与所在专业群内</w:t>
            </w:r>
            <w:r>
              <w:t>的</w:t>
            </w:r>
            <w:r>
              <w:rPr>
                <w:rFonts w:hint="eastAsia"/>
              </w:rPr>
              <w:t>其他专业之间师资、企业资源、实训基地共享情况（1</w:t>
            </w:r>
            <w:r>
              <w:t>5</w:t>
            </w:r>
            <w:r>
              <w:rPr>
                <w:rFonts w:hint="eastAsia"/>
              </w:rPr>
              <w:t>分）</w:t>
            </w:r>
          </w:p>
        </w:tc>
        <w:tc>
          <w:tcPr>
            <w:tcW w:w="5710" w:type="dxa"/>
          </w:tcPr>
          <w:p>
            <w:r>
              <w:rPr>
                <w:rFonts w:hint="eastAsia"/>
              </w:rPr>
              <w:t>专业融合度高，资源高度共享（1</w:t>
            </w:r>
            <w:r>
              <w:t>0-15</w:t>
            </w:r>
            <w:r>
              <w:rPr>
                <w:rFonts w:hint="eastAsia"/>
              </w:rPr>
              <w:t>分）；融合度一般，能实现部分共享（6</w:t>
            </w:r>
            <w:r>
              <w:t>-9</w:t>
            </w:r>
            <w:r>
              <w:rPr>
                <w:rFonts w:hint="eastAsia"/>
              </w:rPr>
              <w:t>分）；融合度偏低，很难实现共享（3</w:t>
            </w:r>
            <w:r>
              <w:t>-5</w:t>
            </w:r>
            <w:r>
              <w:rPr>
                <w:rFonts w:hint="eastAsia"/>
              </w:rPr>
              <w:t>分）；专业差异度大，无法实现共享（0</w:t>
            </w:r>
            <w:r>
              <w:t>-2</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本专业所在专业群的专业平台课程的总课时占本专业的专业课总课时的比例（不含全校公共基础课和公选课）（1</w:t>
            </w:r>
            <w:r>
              <w:t>5</w:t>
            </w:r>
            <w:r>
              <w:rPr>
                <w:rFonts w:hint="eastAsia"/>
              </w:rPr>
              <w:t>分）</w:t>
            </w:r>
          </w:p>
        </w:tc>
        <w:tc>
          <w:tcPr>
            <w:tcW w:w="5710" w:type="dxa"/>
          </w:tcPr>
          <w:p>
            <w:r>
              <w:rPr>
                <w:rFonts w:hint="eastAsia"/>
              </w:rPr>
              <w:t>高于</w:t>
            </w:r>
            <w:r>
              <w:t>45%</w:t>
            </w:r>
            <w:r>
              <w:rPr>
                <w:rFonts w:hint="eastAsia"/>
              </w:rPr>
              <w:t>（1</w:t>
            </w:r>
            <w:r>
              <w:t>5</w:t>
            </w:r>
            <w:r>
              <w:rPr>
                <w:rFonts w:hint="eastAsia"/>
              </w:rPr>
              <w:t>分）；高于</w:t>
            </w:r>
            <w:r>
              <w:t>30%</w:t>
            </w:r>
            <w:r>
              <w:rPr>
                <w:rFonts w:hint="eastAsia"/>
              </w:rPr>
              <w:t>低于4</w:t>
            </w:r>
            <w:r>
              <w:t>5%</w:t>
            </w:r>
            <w:r>
              <w:rPr>
                <w:rFonts w:hint="eastAsia"/>
              </w:rPr>
              <w:t>（1</w:t>
            </w:r>
            <w:r>
              <w:t>0</w:t>
            </w:r>
            <w:r>
              <w:rPr>
                <w:rFonts w:hint="eastAsia"/>
              </w:rPr>
              <w:t>分）高于1</w:t>
            </w:r>
            <w:r>
              <w:t>0%</w:t>
            </w:r>
            <w:r>
              <w:rPr>
                <w:rFonts w:hint="eastAsia"/>
              </w:rPr>
              <w:t>低于3</w:t>
            </w:r>
            <w:r>
              <w:t>0%</w:t>
            </w:r>
            <w:r>
              <w:rPr>
                <w:rFonts w:hint="eastAsia"/>
              </w:rPr>
              <w:t>（5分）；低于1</w:t>
            </w:r>
            <w:r>
              <w:t>0%</w:t>
            </w:r>
            <w:r>
              <w:rPr>
                <w:rFonts w:hint="eastAsia"/>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产教融合</w:t>
            </w:r>
          </w:p>
          <w:p>
            <w:pPr>
              <w:jc w:val="center"/>
              <w:rPr>
                <w:rFonts w:ascii="楷体" w:hAnsi="楷体" w:eastAsia="楷体" w:cs="楷体"/>
                <w:b/>
                <w:bCs/>
                <w:sz w:val="24"/>
                <w:szCs w:val="24"/>
              </w:rPr>
            </w:pPr>
            <w:r>
              <w:rPr>
                <w:rFonts w:hint="eastAsia" w:ascii="楷体" w:hAnsi="楷体" w:eastAsia="楷体" w:cs="楷体"/>
                <w:b/>
                <w:sz w:val="24"/>
                <w:szCs w:val="24"/>
              </w:rPr>
              <w:t>（5</w:t>
            </w:r>
            <w:r>
              <w:rPr>
                <w:rFonts w:ascii="楷体" w:hAnsi="楷体" w:eastAsia="楷体" w:cs="楷体"/>
                <w:b/>
                <w:sz w:val="24"/>
                <w:szCs w:val="24"/>
              </w:rPr>
              <w:t>0</w:t>
            </w:r>
            <w:r>
              <w:rPr>
                <w:rFonts w:hint="eastAsia" w:ascii="楷体" w:hAnsi="楷体" w:eastAsia="楷体" w:cs="楷体"/>
                <w:b/>
                <w:sz w:val="24"/>
                <w:szCs w:val="24"/>
              </w:rPr>
              <w:t>分）</w:t>
            </w:r>
          </w:p>
        </w:tc>
        <w:tc>
          <w:tcPr>
            <w:tcW w:w="5500" w:type="dxa"/>
            <w:shd w:val="clear" w:color="auto" w:fill="FFFFFF" w:themeFill="background1"/>
            <w:vAlign w:val="center"/>
          </w:tcPr>
          <w:p>
            <w:r>
              <w:rPr>
                <w:rFonts w:hint="eastAsia"/>
              </w:rPr>
              <w:t>本专业深度开展</w:t>
            </w:r>
            <w:r>
              <w:t>产教融合</w:t>
            </w:r>
            <w:r>
              <w:rPr>
                <w:rFonts w:hint="eastAsia"/>
              </w:rPr>
              <w:t>的专项</w:t>
            </w:r>
            <w:r>
              <w:t>项目</w:t>
            </w:r>
            <w:r>
              <w:rPr>
                <w:rFonts w:hint="eastAsia"/>
              </w:rPr>
              <w:t>建设情况（应当</w:t>
            </w:r>
            <w:r>
              <w:t>有项目协议</w:t>
            </w:r>
            <w:r>
              <w:rPr>
                <w:rFonts w:hint="eastAsia"/>
              </w:rPr>
              <w:t>书/</w:t>
            </w:r>
            <w:r>
              <w:t>任务书</w:t>
            </w:r>
            <w:r>
              <w:rPr>
                <w:rFonts w:hint="eastAsia"/>
              </w:rPr>
              <w:t>、项目</w:t>
            </w:r>
            <w:r>
              <w:t>建设成果等</w:t>
            </w:r>
            <w:r>
              <w:rPr>
                <w:rFonts w:hint="eastAsia"/>
              </w:rPr>
              <w:t>）（30分）</w:t>
            </w:r>
          </w:p>
        </w:tc>
        <w:tc>
          <w:tcPr>
            <w:tcW w:w="5710" w:type="dxa"/>
            <w:shd w:val="clear" w:color="auto" w:fill="FFFFFF" w:themeFill="background1"/>
          </w:tcPr>
          <w:p>
            <w:r>
              <w:rPr>
                <w:rFonts w:hint="eastAsia"/>
              </w:rPr>
              <w:t>有国家级挂牌，有实质性合作30分；有市级及以上的挂牌，有实质性合作,1个15分；有学校的挂牌的合作单位，开展了实质性合作，1个10分；没有，正在建设中（0</w:t>
            </w:r>
            <w:r>
              <w:t>-5</w:t>
            </w:r>
            <w:r>
              <w:rPr>
                <w:rFonts w:hint="eastAsia"/>
              </w:rPr>
              <w:t>分）（累计不超过3</w:t>
            </w:r>
            <w:r>
              <w:t>0</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696" w:type="dxa"/>
            <w:vMerge w:val="continue"/>
            <w:vAlign w:val="center"/>
          </w:tcPr>
          <w:p>
            <w:pPr>
              <w:jc w:val="center"/>
              <w:rPr>
                <w:rFonts w:ascii="楷体" w:hAnsi="楷体" w:eastAsia="楷体" w:cs="楷体"/>
                <w:b/>
                <w:sz w:val="24"/>
                <w:szCs w:val="24"/>
              </w:rPr>
            </w:pPr>
          </w:p>
        </w:tc>
        <w:tc>
          <w:tcPr>
            <w:tcW w:w="5500" w:type="dxa"/>
            <w:vAlign w:val="center"/>
          </w:tcPr>
          <w:p>
            <w:r>
              <w:rPr>
                <w:rFonts w:hint="eastAsia"/>
              </w:rPr>
              <w:t>本专业与政、行、企等共同研制人才培养方案、共同开展师资队伍建设、共同开发教材、共同建设课程并参与课程实施、共同建设实训实习场地等情况；（20分）</w:t>
            </w:r>
          </w:p>
        </w:tc>
        <w:tc>
          <w:tcPr>
            <w:tcW w:w="5710" w:type="dxa"/>
          </w:tcPr>
          <w:p>
            <w:r>
              <w:rPr>
                <w:rFonts w:hint="eastAsia"/>
              </w:rPr>
              <w:t>共同制定人才培养方案、考核评价体系，实现学生职业技能和职业素养的融合，成果显著（</w:t>
            </w:r>
            <w:r>
              <w:t>1</w:t>
            </w:r>
            <w:r>
              <w:rPr>
                <w:rFonts w:hint="eastAsia"/>
              </w:rPr>
              <w:t>5</w:t>
            </w:r>
            <w:r>
              <w:t>-</w:t>
            </w:r>
            <w:r>
              <w:rPr>
                <w:rFonts w:hint="eastAsia"/>
              </w:rPr>
              <w:t>20</w:t>
            </w:r>
            <w:r>
              <w:t>分</w:t>
            </w:r>
            <w:r>
              <w:rPr>
                <w:rFonts w:hint="eastAsia"/>
              </w:rPr>
              <w:t>）</w:t>
            </w:r>
            <w:r>
              <w:t>；成果良好</w:t>
            </w:r>
            <w:r>
              <w:rPr>
                <w:rFonts w:hint="eastAsia"/>
              </w:rPr>
              <w:t>（10</w:t>
            </w:r>
            <w:r>
              <w:t>-1</w:t>
            </w:r>
            <w:r>
              <w:rPr>
                <w:rFonts w:hint="eastAsia"/>
              </w:rPr>
              <w:t>4</w:t>
            </w:r>
            <w:r>
              <w:t>分</w:t>
            </w:r>
            <w:r>
              <w:rPr>
                <w:rFonts w:hint="eastAsia"/>
              </w:rPr>
              <w:t>）；</w:t>
            </w:r>
            <w:r>
              <w:t>成果一般</w:t>
            </w:r>
            <w:r>
              <w:rPr>
                <w:rFonts w:hint="eastAsia"/>
              </w:rPr>
              <w:t>（5</w:t>
            </w:r>
            <w:r>
              <w:t>-</w:t>
            </w:r>
            <w:r>
              <w:rPr>
                <w:rFonts w:hint="eastAsia"/>
              </w:rPr>
              <w:t>9</w:t>
            </w:r>
            <w:r>
              <w:t>分</w:t>
            </w:r>
            <w:r>
              <w:rPr>
                <w:rFonts w:hint="eastAsia"/>
              </w:rPr>
              <w:t>）；</w:t>
            </w:r>
            <w:r>
              <w:t>成果很差</w:t>
            </w:r>
            <w:r>
              <w:rPr>
                <w:rFonts w:hint="eastAsia"/>
              </w:rPr>
              <w:t>（</w:t>
            </w:r>
            <w:r>
              <w:t>0-</w:t>
            </w:r>
            <w:r>
              <w:rPr>
                <w:rFonts w:hint="eastAsia"/>
              </w:rPr>
              <w:t>4</w:t>
            </w:r>
            <w:r>
              <w:t>分</w:t>
            </w:r>
            <w:r>
              <w:rPr>
                <w:rFonts w:hint="eastAsia"/>
              </w:rPr>
              <w:t>）</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696" w:type="dxa"/>
            <w:vAlign w:val="center"/>
          </w:tcPr>
          <w:p>
            <w:pPr>
              <w:jc w:val="center"/>
              <w:rPr>
                <w:rFonts w:ascii="楷体" w:hAnsi="楷体" w:eastAsia="楷体" w:cs="楷体"/>
                <w:b/>
                <w:sz w:val="24"/>
                <w:szCs w:val="24"/>
              </w:rPr>
            </w:pPr>
            <w:r>
              <w:rPr>
                <w:rFonts w:hint="eastAsia" w:ascii="楷体" w:hAnsi="楷体" w:eastAsia="楷体" w:cs="楷体"/>
                <w:b/>
                <w:sz w:val="24"/>
                <w:szCs w:val="24"/>
              </w:rPr>
              <w:t>国际化</w:t>
            </w:r>
          </w:p>
          <w:p>
            <w:pPr>
              <w:jc w:val="center"/>
              <w:rPr>
                <w:rFonts w:ascii="楷体" w:hAnsi="楷体" w:eastAsia="楷体" w:cs="楷体"/>
                <w:b/>
                <w:bCs/>
                <w:sz w:val="24"/>
                <w:szCs w:val="24"/>
              </w:rPr>
            </w:pPr>
            <w:r>
              <w:rPr>
                <w:rFonts w:hint="eastAsia" w:ascii="楷体" w:hAnsi="楷体" w:eastAsia="楷体" w:cs="楷体"/>
                <w:b/>
                <w:sz w:val="24"/>
                <w:szCs w:val="24"/>
              </w:rPr>
              <w:t>（</w:t>
            </w:r>
            <w:r>
              <w:rPr>
                <w:rFonts w:ascii="楷体" w:hAnsi="楷体" w:eastAsia="楷体" w:cs="楷体"/>
                <w:b/>
                <w:sz w:val="24"/>
                <w:szCs w:val="24"/>
              </w:rPr>
              <w:t>20</w:t>
            </w:r>
            <w:r>
              <w:rPr>
                <w:rFonts w:hint="eastAsia" w:ascii="楷体" w:hAnsi="楷体" w:eastAsia="楷体" w:cs="楷体"/>
                <w:b/>
                <w:sz w:val="24"/>
                <w:szCs w:val="24"/>
              </w:rPr>
              <w:t>分）</w:t>
            </w:r>
          </w:p>
        </w:tc>
        <w:tc>
          <w:tcPr>
            <w:tcW w:w="5500" w:type="dxa"/>
            <w:shd w:val="clear" w:color="auto" w:fill="FFFFFF" w:themeFill="background1"/>
            <w:vAlign w:val="center"/>
          </w:tcPr>
          <w:p>
            <w:r>
              <w:rPr>
                <w:rFonts w:hint="eastAsia"/>
              </w:rPr>
              <w:t>本专业的国际化发展思路及取得的成效（</w:t>
            </w:r>
            <w:r>
              <w:rPr>
                <w:rFonts w:hint="eastAsia"/>
                <w:shd w:val="clear" w:color="auto" w:fill="FFFFFF" w:themeFill="background1"/>
              </w:rPr>
              <w:t>包括与境外院校开展联合培养、吸引境外教师参与专业建设和授课、教师境外培训等借鉴引进境外优质教学资源的情况）（2</w:t>
            </w:r>
            <w:r>
              <w:rPr>
                <w:shd w:val="clear" w:color="auto" w:fill="FFFFFF" w:themeFill="background1"/>
              </w:rPr>
              <w:t>0</w:t>
            </w:r>
            <w:r>
              <w:rPr>
                <w:rFonts w:hint="eastAsia"/>
                <w:shd w:val="clear" w:color="auto" w:fill="FFFFFF" w:themeFill="background1"/>
              </w:rPr>
              <w:t>分）</w:t>
            </w:r>
          </w:p>
        </w:tc>
        <w:tc>
          <w:tcPr>
            <w:tcW w:w="5710" w:type="dxa"/>
          </w:tcPr>
          <w:p>
            <w:r>
              <w:rPr>
                <w:rFonts w:hint="eastAsia"/>
              </w:rPr>
              <w:t>规划清晰，措施有效，与国境外开展长期稳定合作，教师有访学和交流，学生出境深造渠道畅通（</w:t>
            </w:r>
            <w:r>
              <w:t>15-20</w:t>
            </w:r>
            <w:r>
              <w:rPr>
                <w:rFonts w:hint="eastAsia"/>
              </w:rPr>
              <w:t>分）；在个别方面与国外有合作，有一定效果（1</w:t>
            </w:r>
            <w:r>
              <w:t>0-14</w:t>
            </w:r>
            <w:r>
              <w:rPr>
                <w:rFonts w:hint="eastAsia"/>
              </w:rPr>
              <w:t>分）；很少有国际合作（0</w:t>
            </w:r>
            <w:r>
              <w:t>-9</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社会影响力</w:t>
            </w:r>
          </w:p>
          <w:p>
            <w:pPr>
              <w:jc w:val="center"/>
              <w:rPr>
                <w:rFonts w:ascii="楷体" w:hAnsi="楷体" w:eastAsia="楷体" w:cs="楷体"/>
                <w:b/>
                <w:sz w:val="24"/>
                <w:szCs w:val="24"/>
              </w:rPr>
            </w:pPr>
            <w:r>
              <w:rPr>
                <w:rFonts w:hint="eastAsia" w:ascii="楷体" w:hAnsi="楷体" w:eastAsia="楷体" w:cs="楷体"/>
                <w:b/>
                <w:sz w:val="24"/>
                <w:szCs w:val="24"/>
              </w:rPr>
              <w:t>（220分）</w:t>
            </w:r>
          </w:p>
        </w:tc>
        <w:tc>
          <w:tcPr>
            <w:tcW w:w="5500" w:type="dxa"/>
            <w:vAlign w:val="center"/>
          </w:tcPr>
          <w:p>
            <w:r>
              <w:rPr>
                <w:rFonts w:hint="eastAsia"/>
              </w:rPr>
              <w:t>本专业是否属于特色高水平专业（群）（2</w:t>
            </w:r>
            <w:r>
              <w:t>0</w:t>
            </w:r>
            <w:r>
              <w:rPr>
                <w:rFonts w:hint="eastAsia"/>
              </w:rPr>
              <w:t>分）</w:t>
            </w:r>
          </w:p>
        </w:tc>
        <w:tc>
          <w:tcPr>
            <w:tcW w:w="5710" w:type="dxa"/>
          </w:tcPr>
          <w:p>
            <w:r>
              <w:rPr>
                <w:rFonts w:hint="eastAsia"/>
              </w:rPr>
              <w:t>所在专业群属于国家“双高”专业群（</w:t>
            </w:r>
            <w:r>
              <w:t>20分</w:t>
            </w:r>
            <w:r>
              <w:rPr>
                <w:rFonts w:hint="eastAsia"/>
              </w:rPr>
              <w:t>）；北京市“特高”专业群（</w:t>
            </w:r>
            <w:r>
              <w:t>15分</w:t>
            </w:r>
            <w:r>
              <w:rPr>
                <w:rFonts w:hint="eastAsia"/>
              </w:rPr>
              <w:t>）；本专业拥有北京市特色高水平实训基地（</w:t>
            </w:r>
            <w:r>
              <w:t>工程师学院、技术技能大师工作室</w:t>
            </w:r>
            <w:r>
              <w:rPr>
                <w:rFonts w:hint="eastAsia"/>
              </w:rPr>
              <w:t>）（1</w:t>
            </w:r>
            <w:r>
              <w:t>0分</w:t>
            </w:r>
            <w:r>
              <w:rPr>
                <w:rFonts w:hint="eastAsia"/>
              </w:rPr>
              <w:t>）；本专业为北京市特高专业（1</w:t>
            </w:r>
            <w:r>
              <w:t>0</w:t>
            </w:r>
            <w:r>
              <w:rPr>
                <w:rFonts w:hint="eastAsia"/>
              </w:rPr>
              <w:t>分）；其他（0</w:t>
            </w:r>
            <w:r>
              <w:t>-5</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本专业牵头成立或参与成立的职教联盟、集团、共同体、联合体情况（是否理事长单位或副理事长单位等）（1</w:t>
            </w:r>
            <w:r>
              <w:t>5</w:t>
            </w:r>
            <w:r>
              <w:rPr>
                <w:rFonts w:hint="eastAsia"/>
              </w:rPr>
              <w:t>分）</w:t>
            </w:r>
          </w:p>
        </w:tc>
        <w:tc>
          <w:tcPr>
            <w:tcW w:w="5710" w:type="dxa"/>
          </w:tcPr>
          <w:p>
            <w:r>
              <w:rPr>
                <w:rFonts w:hint="eastAsia"/>
              </w:rPr>
              <w:t>理事长单位（</w:t>
            </w:r>
            <w:r>
              <w:t>15</w:t>
            </w:r>
            <w:r>
              <w:rPr>
                <w:rFonts w:hint="eastAsia"/>
              </w:rPr>
              <w:t>分）；常务副理事长</w:t>
            </w:r>
            <w:r>
              <w:t>单位（</w:t>
            </w:r>
            <w:r>
              <w:rPr>
                <w:rFonts w:hint="eastAsia"/>
              </w:rPr>
              <w:t>12分</w:t>
            </w:r>
            <w:r>
              <w:t>）</w:t>
            </w:r>
            <w:r>
              <w:rPr>
                <w:rFonts w:hint="eastAsia"/>
              </w:rPr>
              <w:t>；副理事长单位（1</w:t>
            </w:r>
            <w:r>
              <w:t>0</w:t>
            </w:r>
            <w:r>
              <w:rPr>
                <w:rFonts w:hint="eastAsia"/>
              </w:rPr>
              <w:t>分）；常务理事</w:t>
            </w:r>
            <w:r>
              <w:t>单位（</w:t>
            </w:r>
            <w:r>
              <w:rPr>
                <w:rFonts w:hint="eastAsia"/>
              </w:rPr>
              <w:t>8分</w:t>
            </w:r>
            <w:r>
              <w:t>）</w:t>
            </w:r>
            <w:r>
              <w:rPr>
                <w:rFonts w:hint="eastAsia"/>
              </w:rPr>
              <w:t>；理事单位（5分）；没有（0分）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696" w:type="dxa"/>
            <w:vMerge w:val="continue"/>
            <w:vAlign w:val="center"/>
          </w:tcPr>
          <w:p>
            <w:pPr>
              <w:jc w:val="center"/>
              <w:rPr>
                <w:rFonts w:ascii="楷体" w:hAnsi="楷体" w:eastAsia="楷体" w:cs="楷体"/>
                <w:sz w:val="24"/>
                <w:szCs w:val="24"/>
              </w:rPr>
            </w:pPr>
          </w:p>
        </w:tc>
        <w:tc>
          <w:tcPr>
            <w:tcW w:w="5500" w:type="dxa"/>
            <w:shd w:val="clear" w:color="auto" w:fill="FFFFFF" w:themeFill="background1"/>
            <w:vAlign w:val="center"/>
          </w:tcPr>
          <w:p>
            <w:r>
              <w:rPr>
                <w:rFonts w:hint="eastAsia"/>
              </w:rPr>
              <w:t>本专业主办、承办各类重大赛事情况（1</w:t>
            </w:r>
            <w:r>
              <w:t>0</w:t>
            </w:r>
            <w:r>
              <w:rPr>
                <w:rFonts w:hint="eastAsia"/>
              </w:rPr>
              <w:t>分）</w:t>
            </w:r>
          </w:p>
        </w:tc>
        <w:tc>
          <w:tcPr>
            <w:tcW w:w="5710" w:type="dxa"/>
            <w:shd w:val="clear" w:color="auto" w:fill="FFFFFF" w:themeFill="background1"/>
          </w:tcPr>
          <w:p>
            <w:r>
              <w:t>主持</w:t>
            </w:r>
            <w:r>
              <w:rPr>
                <w:rFonts w:hint="eastAsia"/>
              </w:rPr>
              <w:t>（</w:t>
            </w:r>
            <w:r>
              <w:t>承办</w:t>
            </w:r>
            <w:r>
              <w:rPr>
                <w:rFonts w:hint="eastAsia"/>
              </w:rPr>
              <w:t>）</w:t>
            </w:r>
            <w:r>
              <w:t>国家级大赛项目</w:t>
            </w:r>
            <w:r>
              <w:rPr>
                <w:rFonts w:hint="eastAsia"/>
              </w:rPr>
              <w:t>（1</w:t>
            </w:r>
            <w:r>
              <w:t>0</w:t>
            </w:r>
            <w:r>
              <w:rPr>
                <w:rFonts w:hint="eastAsia"/>
              </w:rPr>
              <w:t>分），</w:t>
            </w:r>
            <w:r>
              <w:rPr>
                <w:rFonts w:hint="eastAsia"/>
                <w:shd w:val="clear" w:color="auto" w:fill="FFFFFF" w:themeFill="background1"/>
              </w:rPr>
              <w:t>申报</w:t>
            </w:r>
            <w:r>
              <w:rPr>
                <w:shd w:val="clear" w:color="auto" w:fill="FFFFFF" w:themeFill="background1"/>
              </w:rPr>
              <w:t>国家</w:t>
            </w:r>
            <w:r>
              <w:t>级</w:t>
            </w:r>
            <w:r>
              <w:rPr>
                <w:rFonts w:hint="eastAsia"/>
              </w:rPr>
              <w:t>大赛</w:t>
            </w:r>
            <w:r>
              <w:t>项目</w:t>
            </w:r>
            <w:r>
              <w:rPr>
                <w:rFonts w:hint="eastAsia"/>
              </w:rPr>
              <w:t>（5</w:t>
            </w:r>
            <w:r>
              <w:t>分</w:t>
            </w:r>
            <w:r>
              <w:rPr>
                <w:rFonts w:hint="eastAsia"/>
              </w:rPr>
              <w:t>）；</w:t>
            </w:r>
            <w:r>
              <w:t>主持</w:t>
            </w:r>
            <w:r>
              <w:rPr>
                <w:rFonts w:hint="eastAsia"/>
              </w:rPr>
              <w:t>（</w:t>
            </w:r>
            <w:r>
              <w:t>承办</w:t>
            </w:r>
            <w:r>
              <w:rPr>
                <w:rFonts w:hint="eastAsia"/>
              </w:rPr>
              <w:t>）</w:t>
            </w:r>
            <w:r>
              <w:t>市级</w:t>
            </w:r>
            <w:r>
              <w:rPr>
                <w:rFonts w:hint="eastAsia"/>
              </w:rPr>
              <w:t>大赛</w:t>
            </w:r>
            <w:r>
              <w:t>项目</w:t>
            </w:r>
            <w:r>
              <w:rPr>
                <w:rFonts w:hint="eastAsia"/>
              </w:rPr>
              <w:t>（5</w:t>
            </w:r>
            <w:r>
              <w:t>分</w:t>
            </w:r>
            <w:r>
              <w:rPr>
                <w:rFonts w:hint="eastAsia"/>
              </w:rPr>
              <w:t>），</w:t>
            </w:r>
            <w:r>
              <w:rPr>
                <w:rFonts w:hint="eastAsia"/>
                <w:shd w:val="clear" w:color="auto" w:fill="FFFFFF" w:themeFill="background1"/>
              </w:rPr>
              <w:t>申报</w:t>
            </w:r>
            <w:r>
              <w:rPr>
                <w:shd w:val="clear" w:color="auto" w:fill="FFFFFF" w:themeFill="background1"/>
              </w:rPr>
              <w:t>市级</w:t>
            </w:r>
            <w:r>
              <w:rPr>
                <w:rFonts w:hint="eastAsia"/>
              </w:rPr>
              <w:t>大赛</w:t>
            </w:r>
            <w:r>
              <w:t>项目</w:t>
            </w:r>
            <w:r>
              <w:rPr>
                <w:rFonts w:hint="eastAsia"/>
              </w:rPr>
              <w:t>（</w:t>
            </w:r>
            <w:r>
              <w:t>2分</w:t>
            </w:r>
            <w:r>
              <w:rPr>
                <w:rFonts w:hint="eastAsia"/>
              </w:rPr>
              <w:t>）</w:t>
            </w:r>
            <w:r>
              <w:tab/>
            </w:r>
            <w:r>
              <w:rPr>
                <w:rFonts w:hint="eastAsia"/>
              </w:rPr>
              <w:t>（累计</w:t>
            </w:r>
            <w:r>
              <w:t>最高</w:t>
            </w:r>
            <w:r>
              <w:rPr>
                <w:rFonts w:hint="eastAsia"/>
              </w:rPr>
              <w:t>10分）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本专业专任教师目前在重要学术机构、行业部门担任职务情况（20分）</w:t>
            </w:r>
          </w:p>
        </w:tc>
        <w:tc>
          <w:tcPr>
            <w:tcW w:w="5710" w:type="dxa"/>
          </w:tcPr>
          <w:p>
            <w:r>
              <w:rPr>
                <w:rFonts w:hint="eastAsia"/>
              </w:rPr>
              <w:t>主持（</w:t>
            </w:r>
            <w:r>
              <w:t>参与</w:t>
            </w:r>
            <w:r>
              <w:rPr>
                <w:rFonts w:hint="eastAsia"/>
              </w:rPr>
              <w:t>）</w:t>
            </w:r>
            <w:r>
              <w:t>国家职业教育专业目录、专业简介、专业教学标准、公共课程标准</w:t>
            </w:r>
            <w:r>
              <w:rPr>
                <w:rFonts w:hint="eastAsia"/>
              </w:rPr>
              <w:t>编制（20分）；</w:t>
            </w:r>
            <w:r>
              <w:t>参与职业教育行指委</w:t>
            </w:r>
            <w:r>
              <w:rPr>
                <w:rFonts w:hint="eastAsia"/>
              </w:rPr>
              <w:t>（</w:t>
            </w:r>
            <w:r>
              <w:t>教指委</w:t>
            </w:r>
            <w:r>
              <w:rPr>
                <w:rFonts w:hint="eastAsia"/>
              </w:rPr>
              <w:t>）</w:t>
            </w:r>
            <w:r>
              <w:t>职业教育专业目录、专业简介、专业教学标准</w:t>
            </w:r>
            <w:r>
              <w:rPr>
                <w:rFonts w:hint="eastAsia"/>
              </w:rPr>
              <w:t>编制（15分）；担任</w:t>
            </w:r>
            <w:r>
              <w:t>行指委</w:t>
            </w:r>
            <w:r>
              <w:rPr>
                <w:rFonts w:hint="eastAsia"/>
              </w:rPr>
              <w:t>（</w:t>
            </w:r>
            <w:r>
              <w:t>教指委</w:t>
            </w:r>
            <w:r>
              <w:rPr>
                <w:rFonts w:hint="eastAsia"/>
              </w:rPr>
              <w:t>）</w:t>
            </w:r>
            <w:r>
              <w:t>副主任委员或秘书长</w:t>
            </w:r>
            <w:r>
              <w:rPr>
                <w:rFonts w:hint="eastAsia"/>
              </w:rPr>
              <w:t>（10分）</w:t>
            </w:r>
            <w:r>
              <w:t>；</w:t>
            </w:r>
            <w:r>
              <w:rPr>
                <w:rFonts w:hint="eastAsia"/>
              </w:rPr>
              <w:t>担任</w:t>
            </w:r>
            <w:r>
              <w:t>学会</w:t>
            </w:r>
            <w:r>
              <w:rPr>
                <w:rFonts w:hint="eastAsia"/>
              </w:rPr>
              <w:t>/</w:t>
            </w:r>
            <w:r>
              <w:t>行业企业协会</w:t>
            </w:r>
            <w:r>
              <w:rPr>
                <w:rFonts w:hint="eastAsia"/>
              </w:rPr>
              <w:t>/专业协会</w:t>
            </w:r>
            <w:r>
              <w:t>副主任委员或秘书长</w:t>
            </w:r>
            <w:r>
              <w:rPr>
                <w:rFonts w:hint="eastAsia"/>
              </w:rPr>
              <w:t>（8分）；主持京津冀服务战略相关项目，每项得（1</w:t>
            </w:r>
            <w:r>
              <w:t>0分</w:t>
            </w:r>
            <w:r>
              <w:rPr>
                <w:rFonts w:hint="eastAsia"/>
              </w:rPr>
              <w:t>）；</w:t>
            </w:r>
            <w:r>
              <w:t>参与京津冀服务战略相关项目每项得</w:t>
            </w:r>
            <w:r>
              <w:rPr>
                <w:rFonts w:hint="eastAsia"/>
              </w:rPr>
              <w:t>（5</w:t>
            </w:r>
            <w:r>
              <w:t>分</w:t>
            </w:r>
            <w:r>
              <w:rPr>
                <w:rFonts w:hint="eastAsia"/>
              </w:rPr>
              <w:t>）；</w:t>
            </w:r>
            <w:r>
              <w:rPr>
                <w:rFonts w:hint="eastAsia"/>
                <w:shd w:val="clear" w:color="auto" w:fill="FFFFFF" w:themeFill="background1"/>
              </w:rPr>
              <w:t>担任全国职业院校技能大赛赛项专家、裁判员、监督仲裁员（10分），担任区域性或北京市职业院校技能大赛赛项专家、裁判员、监督仲裁员（5分），担任全国、区域、北京市行业赛（二类赛项）的裁判、评委（5分）。</w:t>
            </w:r>
            <w:r>
              <w:rPr>
                <w:rFonts w:hint="eastAsia"/>
              </w:rPr>
              <w:t>（累计</w:t>
            </w:r>
            <w:r>
              <w:t>最高</w:t>
            </w:r>
            <w:r>
              <w:rPr>
                <w:rFonts w:hint="eastAsia"/>
              </w:rPr>
              <w:t>20分）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本专业教师在各类教学能力或职业技能比赛中获奖情况（2</w:t>
            </w:r>
            <w:r>
              <w:t>0</w:t>
            </w:r>
            <w:r>
              <w:rPr>
                <w:rFonts w:hint="eastAsia"/>
              </w:rPr>
              <w:t>分）【</w:t>
            </w:r>
            <w:r>
              <w:rPr>
                <w:rFonts w:hint="eastAsia"/>
                <w:shd w:val="clear" w:color="auto" w:fill="FFFFFF" w:themeFill="background1"/>
              </w:rPr>
              <w:t>含师生同赛获奖情况</w:t>
            </w:r>
            <w:r>
              <w:rPr>
                <w:rFonts w:hint="eastAsia"/>
              </w:rPr>
              <w:t>】</w:t>
            </w:r>
          </w:p>
        </w:tc>
        <w:tc>
          <w:tcPr>
            <w:tcW w:w="5710" w:type="dxa"/>
          </w:tcPr>
          <w:p>
            <w:r>
              <w:rPr>
                <w:rFonts w:hint="eastAsia"/>
              </w:rPr>
              <w:t>国际比赛，2</w:t>
            </w:r>
            <w:r>
              <w:t>0</w:t>
            </w:r>
            <w:r>
              <w:rPr>
                <w:rFonts w:hint="eastAsia"/>
              </w:rPr>
              <w:t>分；国家级，一等奖 2</w:t>
            </w:r>
            <w:r>
              <w:t>0</w:t>
            </w:r>
            <w:r>
              <w:rPr>
                <w:rFonts w:hint="eastAsia"/>
              </w:rPr>
              <w:t>分，二等奖 1</w:t>
            </w:r>
            <w:r>
              <w:t>5</w:t>
            </w:r>
            <w:r>
              <w:rPr>
                <w:rFonts w:hint="eastAsia"/>
              </w:rPr>
              <w:t>分，三等奖 1</w:t>
            </w:r>
            <w:r>
              <w:t>0</w:t>
            </w:r>
            <w:r>
              <w:rPr>
                <w:rFonts w:hint="eastAsia"/>
              </w:rPr>
              <w:t>分；省部级，一等奖1</w:t>
            </w:r>
            <w:r>
              <w:t>0</w:t>
            </w:r>
            <w:r>
              <w:rPr>
                <w:rFonts w:hint="eastAsia"/>
              </w:rPr>
              <w:t>分，二等奖7分，三等奖5分；厅局级，一等奖4分，二等奖3分，三等奖2分。</w:t>
            </w:r>
          </w:p>
          <w:p>
            <w:r>
              <w:rPr>
                <w:rFonts w:hint="eastAsia"/>
              </w:rPr>
              <w:t>（累计</w:t>
            </w:r>
            <w:r>
              <w:t>不超过</w:t>
            </w:r>
            <w:r>
              <w:rPr>
                <w:rFonts w:hint="eastAsia"/>
              </w:rPr>
              <w:t>20分）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pPr>
              <w:rPr>
                <w:b/>
                <w:bCs/>
              </w:rPr>
            </w:pPr>
            <w:r>
              <w:rPr>
                <w:rFonts w:hint="eastAsia"/>
              </w:rPr>
              <w:t>本</w:t>
            </w:r>
            <w:r>
              <w:t>专业教师</w:t>
            </w:r>
            <w:r>
              <w:rPr>
                <w:rFonts w:hint="eastAsia"/>
              </w:rPr>
              <w:t>承担市级及以上教科研课题及发表教科研成果情况（3</w:t>
            </w:r>
            <w:r>
              <w:t>0</w:t>
            </w:r>
            <w:r>
              <w:rPr>
                <w:rFonts w:hint="eastAsia"/>
              </w:rPr>
              <w:t>分）</w:t>
            </w:r>
          </w:p>
        </w:tc>
        <w:tc>
          <w:tcPr>
            <w:tcW w:w="5710" w:type="dxa"/>
          </w:tcPr>
          <w:p>
            <w:pPr>
              <w:shd w:val="clear" w:color="auto" w:fill="FFFFFF" w:themeFill="background1"/>
              <w:ind w:firstLine="420" w:firstLineChars="200"/>
              <w:rPr>
                <w:szCs w:val="21"/>
              </w:rPr>
            </w:pPr>
            <w:r>
              <w:rPr>
                <w:rFonts w:hint="eastAsia"/>
                <w:szCs w:val="21"/>
              </w:rPr>
              <w:t>主持承担哲学社会科学基金/自然科学基金、全国教育科学规划课题(项目)：国家级别重大（重点）项目每个得10分，一般项目或每个得8分，青年项目每个得6分；教育部</w:t>
            </w:r>
            <w:r>
              <w:rPr>
                <w:rFonts w:hint="eastAsia"/>
                <w:szCs w:val="21"/>
                <w:shd w:val="clear" w:color="auto" w:fill="FFFFFF" w:themeFill="background1"/>
              </w:rPr>
              <w:t>或文化部、中国美协、中国文联举办的五年一届的全国美展</w:t>
            </w:r>
            <w:r>
              <w:rPr>
                <w:rFonts w:hint="eastAsia"/>
                <w:szCs w:val="21"/>
              </w:rPr>
              <w:t>级别重大（重点）项目或每个得8分，一般项目或</w:t>
            </w:r>
            <w:r>
              <w:rPr>
                <w:rFonts w:hint="eastAsia"/>
                <w:szCs w:val="21"/>
                <w:shd w:val="clear" w:color="auto" w:fill="FFFFFF" w:themeFill="background1"/>
              </w:rPr>
              <w:t>文化部、中国美协主办或文化部、中国美协与国家级艺术团体联合主办的全国性美展</w:t>
            </w:r>
            <w:r>
              <w:rPr>
                <w:rFonts w:hint="eastAsia"/>
                <w:szCs w:val="21"/>
              </w:rPr>
              <w:t>每个得6分；青年项目或</w:t>
            </w:r>
            <w:r>
              <w:rPr>
                <w:rFonts w:hint="eastAsia" w:asciiTheme="minorEastAsia" w:hAnsiTheme="minorEastAsia"/>
                <w:color w:val="000000" w:themeColor="text1"/>
                <w:szCs w:val="21"/>
                <w:shd w:val="clear" w:color="auto" w:fill="FFFFFF" w:themeFill="background1"/>
                <w14:textFill>
                  <w14:solidFill>
                    <w14:schemeClr w14:val="tx1"/>
                  </w14:solidFill>
                </w14:textFill>
              </w:rPr>
              <w:t>国家级博物馆、美术馆收藏</w:t>
            </w:r>
            <w:r>
              <w:rPr>
                <w:rFonts w:asciiTheme="minorEastAsia" w:hAnsiTheme="minorEastAsia"/>
                <w:color w:val="000000" w:themeColor="text1"/>
                <w:szCs w:val="21"/>
                <w:shd w:val="clear" w:color="auto" w:fill="FFFFFF" w:themeFill="background1"/>
                <w14:textFill>
                  <w14:solidFill>
                    <w14:schemeClr w14:val="tx1"/>
                  </w14:solidFill>
                </w14:textFill>
              </w:rPr>
              <w:t>作品</w:t>
            </w:r>
            <w:r>
              <w:rPr>
                <w:rFonts w:hint="eastAsia"/>
                <w:szCs w:val="21"/>
              </w:rPr>
              <w:t>每个得4分。</w:t>
            </w:r>
          </w:p>
          <w:p>
            <w:pPr>
              <w:shd w:val="clear" w:color="auto" w:fill="FFFFFF" w:themeFill="background1"/>
              <w:ind w:firstLine="420" w:firstLineChars="200"/>
              <w:rPr>
                <w:szCs w:val="21"/>
              </w:rPr>
            </w:pPr>
            <w:r>
              <w:rPr>
                <w:rFonts w:hint="eastAsia"/>
                <w:szCs w:val="21"/>
              </w:rPr>
              <w:t>主持承担北京市哲学社会科学基金或自然科学基金、北京市教育科学规划课题(项目)</w:t>
            </w:r>
            <w:r>
              <w:rPr>
                <w:szCs w:val="21"/>
              </w:rPr>
              <w:t>、</w:t>
            </w:r>
            <w:r>
              <w:rPr>
                <w:rFonts w:hint="eastAsia"/>
                <w:szCs w:val="21"/>
              </w:rPr>
              <w:t>北京市哲学社会科学/自然科学研究基地课题（项目）：重大（重点）项目或</w:t>
            </w:r>
            <w:r>
              <w:rPr>
                <w:rFonts w:hint="eastAsia" w:asciiTheme="majorEastAsia" w:hAnsiTheme="majorEastAsia" w:eastAsiaTheme="majorEastAsia"/>
                <w:color w:val="000000" w:themeColor="text1"/>
                <w:szCs w:val="21"/>
                <w:shd w:val="clear" w:color="auto" w:fill="FFFFFF" w:themeFill="background1"/>
                <w14:textFill>
                  <w14:solidFill>
                    <w14:schemeClr w14:val="tx1"/>
                  </w14:solidFill>
                </w14:textFill>
              </w:rPr>
              <w:t>北京市文化主管部门举办的北京省部级美展</w:t>
            </w:r>
            <w:r>
              <w:rPr>
                <w:rFonts w:hint="eastAsia"/>
                <w:szCs w:val="21"/>
              </w:rPr>
              <w:t>每个得6分，一般项目每个得5分，青年项目或</w:t>
            </w:r>
            <w:r>
              <w:rPr>
                <w:rFonts w:hint="eastAsia" w:asciiTheme="majorEastAsia" w:hAnsiTheme="majorEastAsia" w:eastAsiaTheme="majorEastAsia"/>
                <w:color w:val="000000" w:themeColor="text1"/>
                <w:szCs w:val="21"/>
                <w:shd w:val="clear" w:color="auto" w:fill="FFFFFF" w:themeFill="background1"/>
                <w14:textFill>
                  <w14:solidFill>
                    <w14:schemeClr w14:val="tx1"/>
                  </w14:solidFill>
                </w14:textFill>
              </w:rPr>
              <w:t>省部级博物馆、美术馆收藏</w:t>
            </w:r>
            <w:r>
              <w:rPr>
                <w:rFonts w:asciiTheme="majorEastAsia" w:hAnsiTheme="majorEastAsia" w:eastAsiaTheme="majorEastAsia"/>
                <w:color w:val="000000" w:themeColor="text1"/>
                <w:szCs w:val="21"/>
                <w:shd w:val="clear" w:color="auto" w:fill="FFFFFF" w:themeFill="background1"/>
                <w14:textFill>
                  <w14:solidFill>
                    <w14:schemeClr w14:val="tx1"/>
                  </w14:solidFill>
                </w14:textFill>
              </w:rPr>
              <w:t>作品</w:t>
            </w:r>
            <w:r>
              <w:rPr>
                <w:rFonts w:hint="eastAsia"/>
                <w:szCs w:val="21"/>
              </w:rPr>
              <w:t>每个得</w:t>
            </w:r>
            <w:r>
              <w:rPr>
                <w:szCs w:val="21"/>
              </w:rPr>
              <w:t>3</w:t>
            </w:r>
            <w:r>
              <w:rPr>
                <w:rFonts w:hint="eastAsia"/>
                <w:szCs w:val="21"/>
              </w:rPr>
              <w:t>分。</w:t>
            </w:r>
          </w:p>
          <w:p>
            <w:pPr>
              <w:shd w:val="clear" w:color="auto" w:fill="FFFFFF" w:themeFill="background1"/>
              <w:ind w:firstLine="420" w:firstLineChars="200"/>
              <w:rPr>
                <w:szCs w:val="21"/>
              </w:rPr>
            </w:pPr>
            <w:r>
              <w:rPr>
                <w:rFonts w:hint="eastAsia"/>
                <w:szCs w:val="21"/>
              </w:rPr>
              <w:t>主持承担教育部教学指导委员会或行指委、国家一级学会课题（项目）、北京市教委人文社科/自然科学或北京市其他委办局或</w:t>
            </w:r>
            <w:r>
              <w:rPr>
                <w:rFonts w:hint="eastAsia" w:asciiTheme="majorEastAsia" w:hAnsiTheme="majorEastAsia" w:eastAsiaTheme="majorEastAsia"/>
                <w:color w:val="000000" w:themeColor="text1"/>
                <w:szCs w:val="21"/>
                <w:shd w:val="clear" w:color="auto" w:fill="FFFFFF" w:themeFill="background1"/>
                <w14:textFill>
                  <w14:solidFill>
                    <w14:schemeClr w14:val="tx1"/>
                  </w14:solidFill>
                </w14:textFill>
              </w:rPr>
              <w:t>国家级专业协会（指中国美术家协会、中国摄影家协会、中国建筑协会、中国服装设计协会、国工艺美术协会等)举办的各种美展</w:t>
            </w:r>
            <w:r>
              <w:rPr>
                <w:rFonts w:hint="eastAsia"/>
                <w:szCs w:val="21"/>
              </w:rPr>
              <w:t>委托课题（项目）：重大（重点）项目每个得5分，一般项目或每个得</w:t>
            </w:r>
            <w:r>
              <w:rPr>
                <w:szCs w:val="21"/>
              </w:rPr>
              <w:t>3</w:t>
            </w:r>
            <w:r>
              <w:rPr>
                <w:rFonts w:hint="eastAsia"/>
                <w:szCs w:val="21"/>
              </w:rPr>
              <w:t>分。</w:t>
            </w:r>
          </w:p>
          <w:p>
            <w:pPr>
              <w:ind w:firstLine="210" w:firstLineChars="100"/>
              <w:rPr>
                <w:szCs w:val="21"/>
              </w:rPr>
            </w:pPr>
            <w:r>
              <w:rPr>
                <w:rFonts w:hint="eastAsia"/>
                <w:szCs w:val="21"/>
              </w:rPr>
              <w:t>主持承担横向课题（项目）或技术服务项目:人文社科类，每个或到账金额5万，得2分；自然科学类，每个或到账金额</w:t>
            </w:r>
            <w:r>
              <w:rPr>
                <w:szCs w:val="21"/>
              </w:rPr>
              <w:t>10</w:t>
            </w:r>
            <w:r>
              <w:rPr>
                <w:rFonts w:hint="eastAsia"/>
                <w:szCs w:val="21"/>
              </w:rPr>
              <w:t>万，得2分。</w:t>
            </w:r>
          </w:p>
          <w:p>
            <w:pPr>
              <w:ind w:firstLine="420" w:firstLineChars="200"/>
              <w:rPr>
                <w:szCs w:val="21"/>
              </w:rPr>
            </w:pPr>
            <w:r>
              <w:rPr>
                <w:rFonts w:hint="eastAsia"/>
                <w:szCs w:val="21"/>
              </w:rPr>
              <w:t>发表论文、出版学术著作和发行学报:《人民日报》《光明日报》理论版、中国社会科学等顶级期刊论文，每篇得</w:t>
            </w:r>
            <w:r>
              <w:rPr>
                <w:szCs w:val="21"/>
              </w:rPr>
              <w:t>8</w:t>
            </w:r>
            <w:r>
              <w:rPr>
                <w:rFonts w:hint="eastAsia"/>
                <w:szCs w:val="21"/>
              </w:rPr>
              <w:t>分；《经济日报》《北京日报》《中国教育报》《计算机学报》、人民网、光明网、求是网等等权威期刊论文，每篇得6分；在CSSCI、CSCD等C类期刊论文或</w:t>
            </w:r>
            <w:r>
              <w:rPr>
                <w:rFonts w:hint="eastAsia" w:asciiTheme="minorEastAsia" w:hAnsiTheme="minorEastAsia"/>
                <w:color w:val="000000" w:themeColor="text1"/>
                <w:szCs w:val="21"/>
                <w:shd w:val="clear" w:color="auto" w:fill="FFFFFF" w:themeFill="background1"/>
                <w14:textFill>
                  <w14:solidFill>
                    <w14:schemeClr w14:val="tx1"/>
                  </w14:solidFill>
                </w14:textFill>
              </w:rPr>
              <w:t>CSSCI（中文社会科学引文索引）和《中文核心期刊要目总览》收录期刊所发表的艺术作品</w:t>
            </w:r>
            <w:r>
              <w:rPr>
                <w:rFonts w:hint="eastAsia"/>
                <w:szCs w:val="21"/>
              </w:rPr>
              <w:t>，每篇得</w:t>
            </w:r>
            <w:r>
              <w:rPr>
                <w:szCs w:val="21"/>
              </w:rPr>
              <w:t>4</w:t>
            </w:r>
            <w:r>
              <w:rPr>
                <w:rFonts w:hint="eastAsia"/>
                <w:szCs w:val="21"/>
              </w:rPr>
              <w:t>分；北大核心、CSSCI扩展库、CSCD扩展库等期刊论文，每篇得</w:t>
            </w:r>
            <w:r>
              <w:rPr>
                <w:szCs w:val="21"/>
              </w:rPr>
              <w:t>6</w:t>
            </w:r>
            <w:r>
              <w:rPr>
                <w:rFonts w:hint="eastAsia"/>
                <w:szCs w:val="21"/>
              </w:rPr>
              <w:t>分；一般期刊、官方新媒体论文，每篇得</w:t>
            </w:r>
            <w:r>
              <w:rPr>
                <w:szCs w:val="21"/>
              </w:rPr>
              <w:t>1</w:t>
            </w:r>
            <w:r>
              <w:rPr>
                <w:rFonts w:hint="eastAsia"/>
                <w:szCs w:val="21"/>
              </w:rPr>
              <w:t>分；出版学术著作，每本得</w:t>
            </w:r>
            <w:r>
              <w:rPr>
                <w:szCs w:val="21"/>
              </w:rPr>
              <w:t>4</w:t>
            </w:r>
            <w:r>
              <w:rPr>
                <w:rFonts w:hint="eastAsia"/>
                <w:szCs w:val="21"/>
              </w:rPr>
              <w:t>分；发行学报，每份得</w:t>
            </w:r>
            <w:r>
              <w:rPr>
                <w:szCs w:val="21"/>
              </w:rPr>
              <w:t>2</w:t>
            </w:r>
            <w:r>
              <w:rPr>
                <w:rFonts w:hint="eastAsia"/>
                <w:szCs w:val="21"/>
              </w:rPr>
              <w:t>分。</w:t>
            </w:r>
          </w:p>
          <w:p>
            <w:pPr>
              <w:ind w:firstLine="420" w:firstLineChars="200"/>
              <w:rPr>
                <w:szCs w:val="21"/>
              </w:rPr>
            </w:pPr>
            <w:r>
              <w:rPr>
                <w:rFonts w:hint="eastAsia"/>
                <w:szCs w:val="21"/>
              </w:rPr>
              <w:t>申请专利和软件著作权:发明专利，每项得</w:t>
            </w:r>
            <w:r>
              <w:rPr>
                <w:szCs w:val="21"/>
              </w:rPr>
              <w:t>6</w:t>
            </w:r>
            <w:r>
              <w:rPr>
                <w:rFonts w:hint="eastAsia"/>
                <w:szCs w:val="21"/>
              </w:rPr>
              <w:t>分;实用新型专利，每项项得4分；外观设计专利，每项得2分;软件著作权，每项得 2分。</w:t>
            </w:r>
          </w:p>
          <w:p>
            <w:r>
              <w:rPr>
                <w:rFonts w:hint="eastAsia"/>
                <w:szCs w:val="21"/>
              </w:rPr>
              <w:t xml:space="preserve">（以上各项累计最高 </w:t>
            </w:r>
            <w:r>
              <w:rPr>
                <w:szCs w:val="21"/>
              </w:rPr>
              <w:t>3</w:t>
            </w:r>
            <w:r>
              <w:rPr>
                <w:rFonts w:hint="eastAsia"/>
                <w:szCs w:val="21"/>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本专业教师教学成果获奖励情况（</w:t>
            </w:r>
            <w:r>
              <w:t>30</w:t>
            </w:r>
            <w:r>
              <w:rPr>
                <w:rFonts w:hint="eastAsia"/>
              </w:rPr>
              <w:t>分）</w:t>
            </w:r>
          </w:p>
        </w:tc>
        <w:tc>
          <w:tcPr>
            <w:tcW w:w="5710" w:type="dxa"/>
          </w:tcPr>
          <w:p>
            <w:pPr>
              <w:rPr>
                <w:szCs w:val="21"/>
              </w:rPr>
            </w:pPr>
            <w:r>
              <w:rPr>
                <w:rFonts w:hint="eastAsia"/>
                <w:szCs w:val="21"/>
              </w:rPr>
              <w:t>国家级教学成果奖特等奖3</w:t>
            </w:r>
            <w:r>
              <w:rPr>
                <w:szCs w:val="21"/>
              </w:rPr>
              <w:t>0</w:t>
            </w:r>
            <w:r>
              <w:rPr>
                <w:rFonts w:hint="eastAsia"/>
                <w:szCs w:val="21"/>
              </w:rPr>
              <w:t>分/项，一等奖3</w:t>
            </w:r>
            <w:r>
              <w:rPr>
                <w:szCs w:val="21"/>
              </w:rPr>
              <w:t>0</w:t>
            </w:r>
            <w:r>
              <w:rPr>
                <w:rFonts w:hint="eastAsia"/>
                <w:szCs w:val="21"/>
              </w:rPr>
              <w:t>分/项，二等奖2</w:t>
            </w:r>
            <w:r>
              <w:rPr>
                <w:szCs w:val="21"/>
              </w:rPr>
              <w:t>5</w:t>
            </w:r>
            <w:r>
              <w:rPr>
                <w:rFonts w:hint="eastAsia"/>
                <w:szCs w:val="21"/>
              </w:rPr>
              <w:t>分/项；北京市教学成果奖特等奖2</w:t>
            </w:r>
            <w:r>
              <w:rPr>
                <w:szCs w:val="21"/>
              </w:rPr>
              <w:t>0</w:t>
            </w:r>
            <w:r>
              <w:rPr>
                <w:rFonts w:hint="eastAsia"/>
                <w:szCs w:val="21"/>
              </w:rPr>
              <w:t>分/项</w:t>
            </w:r>
            <w:r>
              <w:rPr>
                <w:szCs w:val="21"/>
              </w:rPr>
              <w:t>，</w:t>
            </w:r>
            <w:r>
              <w:rPr>
                <w:rFonts w:hint="eastAsia"/>
                <w:szCs w:val="21"/>
              </w:rPr>
              <w:t xml:space="preserve">一等奖 </w:t>
            </w:r>
            <w:r>
              <w:rPr>
                <w:szCs w:val="21"/>
              </w:rPr>
              <w:t>15</w:t>
            </w:r>
            <w:r>
              <w:rPr>
                <w:rFonts w:hint="eastAsia"/>
                <w:szCs w:val="21"/>
              </w:rPr>
              <w:t>分/项，二等奖10分/项。</w:t>
            </w:r>
          </w:p>
          <w:p>
            <w:r>
              <w:rPr>
                <w:rFonts w:hint="eastAsia"/>
                <w:szCs w:val="21"/>
              </w:rPr>
              <w:t>（按最近一届计分，同一成果按最高奖项计，累计最高3</w:t>
            </w:r>
            <w:r>
              <w:rPr>
                <w:szCs w:val="21"/>
              </w:rPr>
              <w:t>0</w:t>
            </w:r>
            <w:r>
              <w:rPr>
                <w:rFonts w:hint="eastAsia"/>
                <w:szCs w:val="21"/>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本专业教师编著高水平教材情况（25分）</w:t>
            </w:r>
          </w:p>
        </w:tc>
        <w:tc>
          <w:tcPr>
            <w:tcW w:w="5710" w:type="dxa"/>
          </w:tcPr>
          <w:p>
            <w:pPr>
              <w:rPr>
                <w:szCs w:val="21"/>
              </w:rPr>
            </w:pPr>
            <w:r>
              <w:rPr>
                <w:rFonts w:hint="eastAsia"/>
                <w:szCs w:val="21"/>
              </w:rPr>
              <w:t>主编国家级优秀教材特等奖25分/本（套），一等奖20分/本（套），二等奖15分/本（套）；参编国家级优秀教材特等奖2</w:t>
            </w:r>
            <w:r>
              <w:rPr>
                <w:szCs w:val="21"/>
              </w:rPr>
              <w:t>0</w:t>
            </w:r>
            <w:r>
              <w:rPr>
                <w:rFonts w:hint="eastAsia"/>
                <w:szCs w:val="21"/>
              </w:rPr>
              <w:t>分/本（套），一等奖15分/本（套），二等奖10分/本（套）；主编职业教育国家规划教材1</w:t>
            </w:r>
            <w:r>
              <w:rPr>
                <w:szCs w:val="21"/>
              </w:rPr>
              <w:t>5</w:t>
            </w:r>
            <w:r>
              <w:rPr>
                <w:rFonts w:hint="eastAsia"/>
                <w:szCs w:val="21"/>
              </w:rPr>
              <w:t>分/本（套）；市级优秀教材奖（规划或评奖）</w:t>
            </w:r>
            <w:r>
              <w:rPr>
                <w:szCs w:val="21"/>
              </w:rPr>
              <w:t>10</w:t>
            </w:r>
            <w:r>
              <w:rPr>
                <w:rFonts w:hint="eastAsia"/>
                <w:szCs w:val="21"/>
              </w:rPr>
              <w:t>分/本（套）；参编职业教育国家规划教材8分/本（套），市级优秀教材奖（规划或评奖）5分/本（套）。</w:t>
            </w:r>
          </w:p>
          <w:p>
            <w:r>
              <w:rPr>
                <w:rFonts w:hint="eastAsia"/>
                <w:szCs w:val="21"/>
              </w:rPr>
              <w:t>（按最近一届评选计分，累计最高25分）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本专业教师获得教师荣誉称号情况（1</w:t>
            </w:r>
            <w:r>
              <w:t>5</w:t>
            </w:r>
            <w:r>
              <w:rPr>
                <w:rFonts w:hint="eastAsia"/>
              </w:rPr>
              <w:t>分）</w:t>
            </w:r>
          </w:p>
        </w:tc>
        <w:tc>
          <w:tcPr>
            <w:tcW w:w="5710" w:type="dxa"/>
          </w:tcPr>
          <w:p>
            <w:r>
              <w:rPr>
                <w:rFonts w:hint="eastAsia"/>
              </w:rPr>
              <w:t>获国家级教师荣誉称号及人才项目，1</w:t>
            </w:r>
            <w:r>
              <w:t>5</w:t>
            </w:r>
            <w:r>
              <w:rPr>
                <w:rFonts w:hint="eastAsia"/>
              </w:rPr>
              <w:t>分；</w:t>
            </w:r>
            <w:r>
              <w:t>获省部级荣誉和人才项目，得</w:t>
            </w:r>
            <w:r>
              <w:rPr>
                <w:rFonts w:hint="eastAsia"/>
              </w:rPr>
              <w:t>1</w:t>
            </w:r>
            <w:r>
              <w:t>0</w:t>
            </w:r>
            <w:r>
              <w:rPr>
                <w:rFonts w:hint="eastAsia"/>
              </w:rPr>
              <w:t>分；</w:t>
            </w:r>
            <w:r>
              <w:t>其他得0-5分。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学生参加大赛获奖情况（1</w:t>
            </w:r>
            <w:r>
              <w:t>5</w:t>
            </w:r>
            <w:r>
              <w:rPr>
                <w:rFonts w:hint="eastAsia"/>
              </w:rPr>
              <w:t>分）</w:t>
            </w:r>
          </w:p>
        </w:tc>
        <w:tc>
          <w:tcPr>
            <w:tcW w:w="5710" w:type="dxa"/>
            <w:shd w:val="clear" w:color="auto" w:fill="FFFFFF" w:themeFill="background1"/>
          </w:tcPr>
          <w:p>
            <w:r>
              <w:rPr>
                <w:rFonts w:hint="eastAsia"/>
              </w:rPr>
              <w:t>一类竞赛全国比赛特等奖1</w:t>
            </w:r>
            <w:r>
              <w:t>5</w:t>
            </w:r>
            <w:r>
              <w:rPr>
                <w:rFonts w:hint="eastAsia"/>
              </w:rPr>
              <w:t>分，一等奖</w:t>
            </w:r>
            <w:r>
              <w:t>10</w:t>
            </w:r>
            <w:r>
              <w:rPr>
                <w:rFonts w:hint="eastAsia"/>
              </w:rPr>
              <w:t>分，二等奖8分，三等奖6分；市级比赛特等奖6分，一等奖5分，二等奖4分，三等奖2分。二类竞赛特等奖</w:t>
            </w:r>
            <w:r>
              <w:t>5</w:t>
            </w:r>
            <w:r>
              <w:rPr>
                <w:rFonts w:hint="eastAsia"/>
              </w:rPr>
              <w:t>分，一等奖</w:t>
            </w:r>
            <w:r>
              <w:t>4</w:t>
            </w:r>
            <w:r>
              <w:rPr>
                <w:rFonts w:hint="eastAsia"/>
              </w:rPr>
              <w:t>分，二等奖</w:t>
            </w:r>
            <w:r>
              <w:t>3</w:t>
            </w:r>
            <w:r>
              <w:rPr>
                <w:rFonts w:hint="eastAsia"/>
              </w:rPr>
              <w:t>分，三等奖</w:t>
            </w:r>
            <w:r>
              <w:t>1</w:t>
            </w:r>
            <w:r>
              <w:rPr>
                <w:rFonts w:hint="eastAsia"/>
              </w:rPr>
              <w:t>分。（累计不超过1</w:t>
            </w:r>
            <w:r>
              <w:t>5</w:t>
            </w:r>
            <w:r>
              <w:rPr>
                <w:rFonts w:hint="eastAsia"/>
              </w:rPr>
              <w:t>分）</w:t>
            </w:r>
          </w:p>
          <w:p>
            <w:r>
              <w:rPr>
                <w:rFonts w:hint="eastAsia"/>
              </w:rPr>
              <w:t>（具体参见说明1）</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本专业入选北京市职业学校教学优秀案例情况（2</w:t>
            </w:r>
            <w:r>
              <w:t>0</w:t>
            </w:r>
            <w:r>
              <w:rPr>
                <w:rFonts w:hint="eastAsia"/>
              </w:rPr>
              <w:t>分）</w:t>
            </w:r>
          </w:p>
        </w:tc>
        <w:tc>
          <w:tcPr>
            <w:tcW w:w="5710" w:type="dxa"/>
          </w:tcPr>
          <w:p>
            <w:r>
              <w:rPr>
                <w:rFonts w:hint="eastAsia"/>
              </w:rPr>
              <w:t>特等奖每个得 20分；一等奖每个得15分；二等奖每个得10分（按当年评选情况计分，累计最高20分）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96" w:type="dxa"/>
            <w:vMerge w:val="restart"/>
            <w:tcBorders>
              <w:top w:val="nil"/>
            </w:tcBorders>
            <w:vAlign w:val="center"/>
          </w:tcPr>
          <w:p>
            <w:pPr>
              <w:jc w:val="center"/>
              <w:rPr>
                <w:rFonts w:ascii="楷体" w:hAnsi="楷体" w:eastAsia="楷体" w:cs="楷体"/>
                <w:b/>
                <w:sz w:val="24"/>
                <w:szCs w:val="24"/>
              </w:rPr>
            </w:pPr>
            <w:r>
              <w:rPr>
                <w:rFonts w:hint="eastAsia" w:ascii="楷体" w:hAnsi="楷体" w:eastAsia="楷体" w:cs="楷体"/>
                <w:b/>
                <w:sz w:val="24"/>
                <w:szCs w:val="24"/>
              </w:rPr>
              <w:t>师资队伍</w:t>
            </w:r>
          </w:p>
          <w:p>
            <w:pPr>
              <w:jc w:val="center"/>
              <w:rPr>
                <w:rFonts w:ascii="楷体" w:hAnsi="楷体" w:eastAsia="楷体" w:cs="楷体"/>
                <w:b/>
                <w:sz w:val="24"/>
                <w:szCs w:val="24"/>
              </w:rPr>
            </w:pPr>
            <w:r>
              <w:rPr>
                <w:rFonts w:hint="eastAsia" w:ascii="楷体" w:hAnsi="楷体" w:eastAsia="楷体" w:cs="楷体"/>
                <w:b/>
                <w:sz w:val="24"/>
                <w:szCs w:val="24"/>
              </w:rPr>
              <w:t>（50分）</w:t>
            </w:r>
          </w:p>
          <w:p>
            <w:pPr>
              <w:jc w:val="center"/>
              <w:rPr>
                <w:rFonts w:ascii="楷体" w:hAnsi="楷体" w:eastAsia="楷体" w:cs="楷体"/>
                <w:b/>
                <w:sz w:val="24"/>
                <w:szCs w:val="24"/>
              </w:rPr>
            </w:pPr>
          </w:p>
        </w:tc>
        <w:tc>
          <w:tcPr>
            <w:tcW w:w="5500" w:type="dxa"/>
            <w:vAlign w:val="center"/>
          </w:tcPr>
          <w:p>
            <w:r>
              <w:rPr>
                <w:rFonts w:hint="eastAsia"/>
              </w:rPr>
              <w:t>本专业专任教师本年度承担</w:t>
            </w:r>
            <w:r>
              <w:rPr>
                <w:rFonts w:hint="eastAsia"/>
                <w:shd w:val="clear" w:color="auto" w:fill="FFFFFF" w:themeFill="background1"/>
              </w:rPr>
              <w:t>本专业的</w:t>
            </w:r>
            <w:r>
              <w:rPr>
                <w:rFonts w:hint="eastAsia"/>
              </w:rPr>
              <w:t>课程总门数、总课时数和平均数（1</w:t>
            </w:r>
            <w:r>
              <w:t>0</w:t>
            </w:r>
            <w:r>
              <w:rPr>
                <w:rFonts w:hint="eastAsia"/>
              </w:rPr>
              <w:t>分）</w:t>
            </w:r>
          </w:p>
        </w:tc>
        <w:tc>
          <w:tcPr>
            <w:tcW w:w="5710" w:type="dxa"/>
          </w:tcPr>
          <w:p>
            <w:r>
              <w:rPr>
                <w:rFonts w:hint="eastAsia"/>
              </w:rPr>
              <w:t>接近学校规定平均纯教学工作量（1</w:t>
            </w:r>
            <w:r>
              <w:t>0</w:t>
            </w:r>
            <w:r>
              <w:rPr>
                <w:rFonts w:hint="eastAsia"/>
              </w:rPr>
              <w:t>分）；高出或低于学校平均纯教学工作量的3</w:t>
            </w:r>
            <w:r>
              <w:t>0%</w:t>
            </w:r>
            <w:r>
              <w:rPr>
                <w:rFonts w:hint="eastAsia"/>
              </w:rPr>
              <w:t>（6</w:t>
            </w:r>
            <w:r>
              <w:t>-9</w:t>
            </w:r>
            <w:r>
              <w:rPr>
                <w:rFonts w:hint="eastAsia"/>
              </w:rPr>
              <w:t>分）；高于或低于学校平均纯教学工作量的5</w:t>
            </w:r>
            <w:r>
              <w:t>0%</w:t>
            </w:r>
            <w:r>
              <w:rPr>
                <w:rFonts w:hint="eastAsia"/>
              </w:rPr>
              <w:t>（0</w:t>
            </w:r>
            <w:r>
              <w:t>-5</w:t>
            </w:r>
            <w:r>
              <w:rPr>
                <w:rFonts w:hint="eastAsia"/>
              </w:rPr>
              <w:t>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本专业校外兼职/兼课教师所承担专业课程教学工作量总量（按课时累计）占本专业的本年度专业课总量（不含公共基础课、实训学期和全校公选课）的比例（10分）</w:t>
            </w:r>
          </w:p>
        </w:tc>
        <w:tc>
          <w:tcPr>
            <w:tcW w:w="5710" w:type="dxa"/>
          </w:tcPr>
          <w:p>
            <w:r>
              <w:rPr>
                <w:rFonts w:hint="eastAsia"/>
              </w:rPr>
              <w:t>0</w:t>
            </w:r>
            <w:r>
              <w:t>-5%</w:t>
            </w:r>
            <w:r>
              <w:rPr>
                <w:rFonts w:hint="eastAsia"/>
              </w:rPr>
              <w:t>（10分）；6-10%（8分）；11-15%（5分）；</w:t>
            </w:r>
          </w:p>
          <w:p>
            <w:pPr>
              <w:rPr>
                <w:szCs w:val="21"/>
              </w:rPr>
            </w:pPr>
            <w:r>
              <w:rPr>
                <w:rFonts w:hint="eastAsia"/>
              </w:rPr>
              <w:t>大于1</w:t>
            </w:r>
            <w:r>
              <w:t>5%</w:t>
            </w:r>
            <w:r>
              <w:rPr>
                <w:rFonts w:hint="eastAsia"/>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本专业加强校外兼职教师的管理制度（协议</w:t>
            </w:r>
            <w:r>
              <w:t>、聘书、资质管理等</w:t>
            </w:r>
            <w:r>
              <w:rPr>
                <w:rFonts w:hint="eastAsia"/>
              </w:rPr>
              <w:t>）的具体执行情况（5分）</w:t>
            </w:r>
          </w:p>
        </w:tc>
        <w:tc>
          <w:tcPr>
            <w:tcW w:w="5710" w:type="dxa"/>
          </w:tcPr>
          <w:p>
            <w:pPr>
              <w:rPr>
                <w:szCs w:val="21"/>
              </w:rPr>
            </w:pPr>
            <w:r>
              <w:rPr>
                <w:rFonts w:hint="eastAsia"/>
              </w:rPr>
              <w:t>有，执行良好，能确保教学质量（5分）；有，但执行一般（3分）；无（0分）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本专业十四五期间的教师队伍建设计划、举措及已取得的成效（包括引进、培育、使用、双师型队伍建设、企业行业兼职教师队伍建设等）（1</w:t>
            </w:r>
            <w:r>
              <w:t>0</w:t>
            </w:r>
            <w:r>
              <w:rPr>
                <w:rFonts w:hint="eastAsia"/>
              </w:rPr>
              <w:t>分）</w:t>
            </w:r>
          </w:p>
        </w:tc>
        <w:tc>
          <w:tcPr>
            <w:tcW w:w="5710" w:type="dxa"/>
          </w:tcPr>
          <w:p>
            <w:r>
              <w:rPr>
                <w:rFonts w:hint="eastAsia"/>
              </w:rPr>
              <w:t>有明晰的建设计划，并且已经在着手落实（7</w:t>
            </w:r>
            <w:r>
              <w:t>-10</w:t>
            </w:r>
            <w:r>
              <w:rPr>
                <w:rFonts w:hint="eastAsia"/>
              </w:rPr>
              <w:t>分）；没有规划，但有建设举措和成效（4</w:t>
            </w:r>
            <w:r>
              <w:t>-6</w:t>
            </w:r>
            <w:r>
              <w:rPr>
                <w:rFonts w:hint="eastAsia"/>
              </w:rPr>
              <w:t>分）；既没规划也没行动（0分）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本专业落实教师师德师风建设的情况（5分）</w:t>
            </w:r>
          </w:p>
        </w:tc>
        <w:tc>
          <w:tcPr>
            <w:tcW w:w="5710" w:type="dxa"/>
          </w:tcPr>
          <w:p>
            <w:r>
              <w:rPr>
                <w:rFonts w:hint="eastAsia"/>
              </w:rPr>
              <w:t>有制度，有落实，未发生违反教师职业道德现象（5分）；无制度无违反师德事件发生（3分）；</w:t>
            </w:r>
          </w:p>
          <w:p>
            <w:r>
              <w:rPr>
                <w:rFonts w:hint="eastAsia"/>
              </w:rPr>
              <w:t>无制度或有制度无落实且有违反师德事件发生（0分）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本专业提升教师的执教能力的情况（5分）</w:t>
            </w:r>
          </w:p>
        </w:tc>
        <w:tc>
          <w:tcPr>
            <w:tcW w:w="5710" w:type="dxa"/>
          </w:tcPr>
          <w:p>
            <w:r>
              <w:rPr>
                <w:rFonts w:hint="eastAsia"/>
              </w:rPr>
              <w:t>有计划有措施（3</w:t>
            </w:r>
            <w:r>
              <w:t>-</w:t>
            </w:r>
            <w:r>
              <w:rPr>
                <w:rFonts w:hint="eastAsia"/>
              </w:rPr>
              <w:t>5分）；</w:t>
            </w:r>
          </w:p>
          <w:p>
            <w:r>
              <w:rPr>
                <w:rFonts w:hint="eastAsia"/>
              </w:rPr>
              <w:t>既无计划又未采取任何措施（0分）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本专业加强教学团队建设的情况（5分）</w:t>
            </w:r>
          </w:p>
        </w:tc>
        <w:tc>
          <w:tcPr>
            <w:tcW w:w="5710" w:type="dxa"/>
          </w:tcPr>
          <w:p>
            <w:r>
              <w:rPr>
                <w:rFonts w:hint="eastAsia"/>
              </w:rPr>
              <w:t>有计划有措施（3</w:t>
            </w:r>
            <w:r>
              <w:t>-</w:t>
            </w:r>
            <w:r>
              <w:rPr>
                <w:rFonts w:hint="eastAsia"/>
              </w:rPr>
              <w:t>5分）；既无计划又未采取任何措施（0分）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生源状况</w:t>
            </w:r>
          </w:p>
          <w:p>
            <w:pPr>
              <w:jc w:val="center"/>
              <w:rPr>
                <w:rFonts w:ascii="楷体" w:hAnsi="楷体" w:eastAsia="楷体" w:cs="楷体"/>
                <w:b/>
                <w:sz w:val="24"/>
                <w:szCs w:val="24"/>
              </w:rPr>
            </w:pPr>
            <w:r>
              <w:rPr>
                <w:rFonts w:hint="eastAsia" w:ascii="楷体" w:hAnsi="楷体" w:eastAsia="楷体" w:cs="楷体"/>
                <w:b/>
                <w:sz w:val="24"/>
                <w:szCs w:val="24"/>
              </w:rPr>
              <w:t>（30分）</w:t>
            </w:r>
          </w:p>
        </w:tc>
        <w:tc>
          <w:tcPr>
            <w:tcW w:w="5500" w:type="dxa"/>
            <w:vAlign w:val="center"/>
          </w:tcPr>
          <w:p>
            <w:r>
              <w:rPr>
                <w:rFonts w:hint="eastAsia"/>
              </w:rPr>
              <w:t>自</w:t>
            </w:r>
            <w:r>
              <w:t>主招生第一志愿率（</w:t>
            </w:r>
            <w:r>
              <w:rPr>
                <w:rFonts w:hint="eastAsia"/>
              </w:rPr>
              <w:t>1</w:t>
            </w:r>
            <w:r>
              <w:t>0分）</w:t>
            </w:r>
          </w:p>
        </w:tc>
        <w:tc>
          <w:tcPr>
            <w:tcW w:w="5710" w:type="dxa"/>
          </w:tcPr>
          <w:p>
            <w:r>
              <w:rPr>
                <w:rFonts w:hint="eastAsia"/>
              </w:rPr>
              <w:t>连续三年高于9</w:t>
            </w:r>
            <w:r>
              <w:t>5%</w:t>
            </w:r>
            <w:r>
              <w:rPr>
                <w:rFonts w:hint="eastAsia"/>
              </w:rPr>
              <w:t>，（</w:t>
            </w:r>
            <w:r>
              <w:t>10</w:t>
            </w:r>
            <w:r>
              <w:rPr>
                <w:rFonts w:hint="eastAsia"/>
              </w:rPr>
              <w:t>分）</w:t>
            </w:r>
            <w:r>
              <w:t>；</w:t>
            </w:r>
            <w:r>
              <w:rPr>
                <w:rFonts w:hint="eastAsia"/>
              </w:rPr>
              <w:t>连续三年9</w:t>
            </w:r>
            <w:r>
              <w:t>0-95%</w:t>
            </w:r>
            <w:r>
              <w:rPr>
                <w:rFonts w:hint="eastAsia"/>
              </w:rPr>
              <w:t>（5</w:t>
            </w:r>
            <w:r>
              <w:t>分</w:t>
            </w:r>
            <w:r>
              <w:rPr>
                <w:rFonts w:hint="eastAsia"/>
              </w:rPr>
              <w:t>）；连续三年低于9</w:t>
            </w:r>
            <w:r>
              <w:t>0%</w:t>
            </w:r>
            <w:r>
              <w:rPr>
                <w:rFonts w:hint="eastAsia"/>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新生入学报到率（1</w:t>
            </w:r>
            <w:r>
              <w:t>0</w:t>
            </w:r>
            <w:r>
              <w:rPr>
                <w:rFonts w:hint="eastAsia"/>
              </w:rPr>
              <w:t>分）</w:t>
            </w:r>
          </w:p>
        </w:tc>
        <w:tc>
          <w:tcPr>
            <w:tcW w:w="5710" w:type="dxa"/>
          </w:tcPr>
          <w:p>
            <w:r>
              <w:rPr>
                <w:rFonts w:hint="eastAsia"/>
              </w:rPr>
              <w:t>连续三年高于9</w:t>
            </w:r>
            <w:r>
              <w:t>5%</w:t>
            </w:r>
            <w:r>
              <w:rPr>
                <w:rFonts w:hint="eastAsia"/>
              </w:rPr>
              <w:t>，（</w:t>
            </w:r>
            <w:r>
              <w:t>10</w:t>
            </w:r>
            <w:r>
              <w:rPr>
                <w:rFonts w:hint="eastAsia"/>
              </w:rPr>
              <w:t>分）</w:t>
            </w:r>
            <w:r>
              <w:t>；</w:t>
            </w:r>
            <w:r>
              <w:rPr>
                <w:rFonts w:hint="eastAsia"/>
              </w:rPr>
              <w:t>连续三年9</w:t>
            </w:r>
            <w:r>
              <w:t>0-95%</w:t>
            </w:r>
            <w:r>
              <w:rPr>
                <w:rFonts w:hint="eastAsia"/>
              </w:rPr>
              <w:t>（5</w:t>
            </w:r>
            <w:r>
              <w:t>分</w:t>
            </w:r>
            <w:r>
              <w:rPr>
                <w:rFonts w:hint="eastAsia"/>
              </w:rPr>
              <w:t>）；连续三年低于9</w:t>
            </w:r>
            <w:r>
              <w:t>0%</w:t>
            </w:r>
            <w:r>
              <w:rPr>
                <w:rFonts w:hint="eastAsia"/>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本专业在</w:t>
            </w:r>
            <w:r>
              <w:rPr>
                <w:rFonts w:hint="eastAsia"/>
                <w:shd w:val="clear" w:color="auto" w:fill="FFFFFF" w:themeFill="background1"/>
              </w:rPr>
              <w:t>拓展生源方面</w:t>
            </w:r>
            <w:r>
              <w:rPr>
                <w:rFonts w:hint="eastAsia"/>
              </w:rPr>
              <w:t>上采取的措施及效果（1</w:t>
            </w:r>
            <w:r>
              <w:t>0</w:t>
            </w:r>
            <w:r>
              <w:rPr>
                <w:rFonts w:hint="eastAsia"/>
              </w:rPr>
              <w:t>分）</w:t>
            </w:r>
          </w:p>
        </w:tc>
        <w:tc>
          <w:tcPr>
            <w:tcW w:w="5710" w:type="dxa"/>
          </w:tcPr>
          <w:p>
            <w:r>
              <w:rPr>
                <w:rFonts w:hint="eastAsia"/>
              </w:rPr>
              <w:t>措施得当，成效显著（1</w:t>
            </w:r>
            <w:r>
              <w:t>0</w:t>
            </w:r>
            <w:r>
              <w:rPr>
                <w:rFonts w:hint="eastAsia"/>
              </w:rPr>
              <w:t>分）</w:t>
            </w:r>
            <w:r>
              <w:t>；</w:t>
            </w:r>
            <w:r>
              <w:rPr>
                <w:rFonts w:hint="eastAsia"/>
              </w:rPr>
              <w:t>有措施，效果不明显（5分）</w:t>
            </w:r>
            <w:r>
              <w:t>；</w:t>
            </w:r>
            <w:r>
              <w:rPr>
                <w:rFonts w:hint="eastAsia"/>
              </w:rPr>
              <w:t>未采取任何措施（0分）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毕业和</w:t>
            </w:r>
          </w:p>
          <w:p>
            <w:pPr>
              <w:jc w:val="center"/>
              <w:rPr>
                <w:rFonts w:ascii="楷体" w:hAnsi="楷体" w:eastAsia="楷体" w:cs="楷体"/>
                <w:b/>
                <w:sz w:val="24"/>
                <w:szCs w:val="24"/>
              </w:rPr>
            </w:pPr>
            <w:r>
              <w:rPr>
                <w:rFonts w:hint="eastAsia" w:ascii="楷体" w:hAnsi="楷体" w:eastAsia="楷体" w:cs="楷体"/>
                <w:b/>
                <w:sz w:val="24"/>
                <w:szCs w:val="24"/>
              </w:rPr>
              <w:t>就业状况</w:t>
            </w:r>
          </w:p>
          <w:p>
            <w:pPr>
              <w:jc w:val="center"/>
              <w:rPr>
                <w:rFonts w:ascii="楷体" w:hAnsi="楷体" w:eastAsia="楷体" w:cs="楷体"/>
                <w:b/>
                <w:sz w:val="24"/>
                <w:szCs w:val="24"/>
              </w:rPr>
            </w:pPr>
            <w:r>
              <w:rPr>
                <w:rFonts w:hint="eastAsia" w:ascii="楷体" w:hAnsi="楷体" w:eastAsia="楷体" w:cs="楷体"/>
                <w:b/>
                <w:sz w:val="24"/>
                <w:szCs w:val="24"/>
              </w:rPr>
              <w:t>（60分）</w:t>
            </w:r>
          </w:p>
        </w:tc>
        <w:tc>
          <w:tcPr>
            <w:tcW w:w="5500" w:type="dxa"/>
            <w:vAlign w:val="center"/>
          </w:tcPr>
          <w:p>
            <w:pPr>
              <w:rPr>
                <w:b/>
                <w:bCs/>
              </w:rPr>
            </w:pPr>
            <w:r>
              <w:rPr>
                <w:rFonts w:hint="eastAsia"/>
              </w:rPr>
              <w:t>本专业应届毕业生去向落实率（包括签订就业协议</w:t>
            </w:r>
            <w:r>
              <w:t>、自主创业、灵活就业、参军、出国、升本）</w:t>
            </w:r>
            <w:r>
              <w:rPr>
                <w:rFonts w:hint="eastAsia"/>
              </w:rPr>
              <w:t>（1</w:t>
            </w:r>
            <w:r>
              <w:t>0</w:t>
            </w:r>
            <w:r>
              <w:rPr>
                <w:rFonts w:hint="eastAsia"/>
              </w:rPr>
              <w:t>分）</w:t>
            </w:r>
          </w:p>
        </w:tc>
        <w:tc>
          <w:tcPr>
            <w:tcW w:w="5710" w:type="dxa"/>
          </w:tcPr>
          <w:p>
            <w:pPr>
              <w:rPr>
                <w:b/>
                <w:bCs/>
              </w:rPr>
            </w:pPr>
            <w:r>
              <w:rPr>
                <w:rFonts w:hint="eastAsia"/>
              </w:rPr>
              <w:t>连续三年高于9</w:t>
            </w:r>
            <w:r>
              <w:t>5%</w:t>
            </w:r>
            <w:r>
              <w:rPr>
                <w:rFonts w:hint="eastAsia"/>
              </w:rPr>
              <w:t>，（</w:t>
            </w:r>
            <w:r>
              <w:t>10</w:t>
            </w:r>
            <w:r>
              <w:rPr>
                <w:rFonts w:hint="eastAsia"/>
              </w:rPr>
              <w:t>分）</w:t>
            </w:r>
            <w:r>
              <w:t>；</w:t>
            </w:r>
            <w:r>
              <w:rPr>
                <w:rFonts w:hint="eastAsia"/>
              </w:rPr>
              <w:t>连续三年9</w:t>
            </w:r>
            <w:r>
              <w:t>0-95%</w:t>
            </w:r>
            <w:r>
              <w:rPr>
                <w:rFonts w:hint="eastAsia"/>
              </w:rPr>
              <w:t>（5</w:t>
            </w:r>
            <w:r>
              <w:t>分</w:t>
            </w:r>
            <w:r>
              <w:rPr>
                <w:rFonts w:hint="eastAsia"/>
              </w:rPr>
              <w:t>）；连续三年低于9</w:t>
            </w:r>
            <w:r>
              <w:t>0%</w:t>
            </w:r>
            <w:r>
              <w:rPr>
                <w:rFonts w:hint="eastAsia"/>
              </w:rPr>
              <w:t>（0分）（截止2023年12月31日）</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本专业应届毕业生初次就业</w:t>
            </w:r>
            <w:r>
              <w:t>率（</w:t>
            </w:r>
            <w:r>
              <w:rPr>
                <w:rFonts w:hint="eastAsia"/>
              </w:rPr>
              <w:t>包括签订就业协议</w:t>
            </w:r>
            <w:r>
              <w:t>、自主创业、灵活就业、参军、出国、）</w:t>
            </w:r>
            <w:r>
              <w:rPr>
                <w:rFonts w:hint="eastAsia"/>
              </w:rPr>
              <w:t>（1</w:t>
            </w:r>
            <w:r>
              <w:t>0</w:t>
            </w:r>
            <w:r>
              <w:rPr>
                <w:rFonts w:hint="eastAsia"/>
              </w:rPr>
              <w:t>分）</w:t>
            </w:r>
          </w:p>
        </w:tc>
        <w:tc>
          <w:tcPr>
            <w:tcW w:w="5710" w:type="dxa"/>
          </w:tcPr>
          <w:p>
            <w:r>
              <w:rPr>
                <w:rFonts w:hint="eastAsia"/>
              </w:rPr>
              <w:t>连续三年高于9</w:t>
            </w:r>
            <w:r>
              <w:t>5%</w:t>
            </w:r>
            <w:r>
              <w:rPr>
                <w:rFonts w:hint="eastAsia"/>
              </w:rPr>
              <w:t>，（</w:t>
            </w:r>
            <w:r>
              <w:t>10</w:t>
            </w:r>
            <w:r>
              <w:rPr>
                <w:rFonts w:hint="eastAsia"/>
              </w:rPr>
              <w:t>分）</w:t>
            </w:r>
            <w:r>
              <w:t>；</w:t>
            </w:r>
            <w:r>
              <w:rPr>
                <w:rFonts w:hint="eastAsia"/>
              </w:rPr>
              <w:t>连续三年85</w:t>
            </w:r>
            <w:r>
              <w:t>-95%</w:t>
            </w:r>
            <w:r>
              <w:rPr>
                <w:rFonts w:hint="eastAsia"/>
              </w:rPr>
              <w:t>（5</w:t>
            </w:r>
            <w:r>
              <w:t>分</w:t>
            </w:r>
            <w:r>
              <w:rPr>
                <w:rFonts w:hint="eastAsia"/>
              </w:rPr>
              <w:t>）；连续三年低于85</w:t>
            </w:r>
            <w:r>
              <w:t>%</w:t>
            </w:r>
            <w:r>
              <w:rPr>
                <w:rFonts w:hint="eastAsia"/>
              </w:rPr>
              <w:t>（0分）</w:t>
            </w:r>
          </w:p>
        </w:tc>
        <w:tc>
          <w:tcPr>
            <w:tcW w:w="1253" w:type="dxa"/>
          </w:tcPr>
          <w:p>
            <w:pP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本专业应届毕业生就业</w:t>
            </w:r>
            <w:r>
              <w:t>的</w:t>
            </w:r>
            <w:r>
              <w:rPr>
                <w:rFonts w:hint="eastAsia"/>
              </w:rPr>
              <w:t>专业对口率（1</w:t>
            </w:r>
            <w:r>
              <w:t>0</w:t>
            </w:r>
            <w:r>
              <w:rPr>
                <w:rFonts w:hint="eastAsia"/>
              </w:rPr>
              <w:t>分）</w:t>
            </w:r>
          </w:p>
        </w:tc>
        <w:tc>
          <w:tcPr>
            <w:tcW w:w="5710" w:type="dxa"/>
          </w:tcPr>
          <w:p>
            <w:r>
              <w:rPr>
                <w:rFonts w:hint="eastAsia"/>
              </w:rPr>
              <w:t>高于8</w:t>
            </w:r>
            <w:r>
              <w:t>0%</w:t>
            </w:r>
            <w:r>
              <w:rPr>
                <w:rFonts w:hint="eastAsia"/>
              </w:rPr>
              <w:t>（1</w:t>
            </w:r>
            <w:r>
              <w:t>0</w:t>
            </w:r>
            <w:r>
              <w:rPr>
                <w:rFonts w:hint="eastAsia"/>
              </w:rPr>
              <w:t>分连续三年）</w:t>
            </w:r>
            <w:r>
              <w:t>；</w:t>
            </w:r>
            <w:r>
              <w:rPr>
                <w:rFonts w:hint="eastAsia"/>
              </w:rPr>
              <w:t>连续三年</w:t>
            </w:r>
            <w:r>
              <w:t>50-80%</w:t>
            </w:r>
            <w:r>
              <w:rPr>
                <w:rFonts w:hint="eastAsia"/>
              </w:rPr>
              <w:t>之间（7分）</w:t>
            </w:r>
            <w:r>
              <w:t>；</w:t>
            </w:r>
            <w:r>
              <w:rPr>
                <w:rFonts w:hint="eastAsia"/>
              </w:rPr>
              <w:t>连续三年</w:t>
            </w:r>
            <w:r>
              <w:t>30-50%</w:t>
            </w:r>
            <w:r>
              <w:rPr>
                <w:rFonts w:hint="eastAsia"/>
              </w:rPr>
              <w:t>之间（3分）</w:t>
            </w:r>
            <w:r>
              <w:t>；</w:t>
            </w:r>
            <w:r>
              <w:rPr>
                <w:rFonts w:hint="eastAsia"/>
              </w:rPr>
              <w:t>连续三年低于3</w:t>
            </w:r>
            <w:r>
              <w:t>0%</w:t>
            </w:r>
            <w:r>
              <w:rPr>
                <w:rFonts w:hint="eastAsia"/>
              </w:rPr>
              <w:t>（0分）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2023年，本专业应届毕业生就业满意度（1</w:t>
            </w:r>
            <w:r>
              <w:t>0</w:t>
            </w:r>
            <w:r>
              <w:rPr>
                <w:rFonts w:hint="eastAsia"/>
              </w:rPr>
              <w:t>分）</w:t>
            </w:r>
          </w:p>
        </w:tc>
        <w:tc>
          <w:tcPr>
            <w:tcW w:w="5710" w:type="dxa"/>
          </w:tcPr>
          <w:p>
            <w:r>
              <w:rPr>
                <w:rFonts w:hint="eastAsia"/>
              </w:rPr>
              <w:t>高于9</w:t>
            </w:r>
            <w:r>
              <w:t>0%</w:t>
            </w:r>
            <w:r>
              <w:rPr>
                <w:rFonts w:hint="eastAsia"/>
              </w:rPr>
              <w:t>（1</w:t>
            </w:r>
            <w:r>
              <w:t>0</w:t>
            </w:r>
            <w:r>
              <w:rPr>
                <w:rFonts w:hint="eastAsia"/>
              </w:rPr>
              <w:t>分）</w:t>
            </w:r>
            <w:r>
              <w:t>；80-90%</w:t>
            </w:r>
            <w:r>
              <w:rPr>
                <w:rFonts w:hint="eastAsia"/>
              </w:rPr>
              <w:t>之间（7分）</w:t>
            </w:r>
            <w:r>
              <w:t>；60-80%</w:t>
            </w:r>
            <w:r>
              <w:rPr>
                <w:rFonts w:hint="eastAsia"/>
              </w:rPr>
              <w:t>之间（3分）</w:t>
            </w:r>
            <w:r>
              <w:t>；</w:t>
            </w:r>
            <w:r>
              <w:rPr>
                <w:rFonts w:hint="eastAsia"/>
              </w:rPr>
              <w:t>低于6</w:t>
            </w:r>
            <w:r>
              <w:t>0%</w:t>
            </w:r>
            <w:r>
              <w:rPr>
                <w:rFonts w:hint="eastAsia"/>
              </w:rPr>
              <w:t>（0分）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本专业近三年毕业生就业满意度（1</w:t>
            </w:r>
            <w:r>
              <w:t>0</w:t>
            </w:r>
            <w:r>
              <w:rPr>
                <w:rFonts w:hint="eastAsia"/>
              </w:rPr>
              <w:t>分）</w:t>
            </w:r>
          </w:p>
        </w:tc>
        <w:tc>
          <w:tcPr>
            <w:tcW w:w="5710" w:type="dxa"/>
          </w:tcPr>
          <w:p>
            <w:r>
              <w:rPr>
                <w:rFonts w:hint="eastAsia"/>
              </w:rPr>
              <w:t>高于9</w:t>
            </w:r>
            <w:r>
              <w:t>0%</w:t>
            </w:r>
            <w:r>
              <w:rPr>
                <w:rFonts w:hint="eastAsia"/>
              </w:rPr>
              <w:t>（1</w:t>
            </w:r>
            <w:r>
              <w:t>0</w:t>
            </w:r>
            <w:r>
              <w:rPr>
                <w:rFonts w:hint="eastAsia"/>
              </w:rPr>
              <w:t>分）</w:t>
            </w:r>
            <w:r>
              <w:t>；80-90%</w:t>
            </w:r>
            <w:r>
              <w:rPr>
                <w:rFonts w:hint="eastAsia"/>
              </w:rPr>
              <w:t>之间（7分）</w:t>
            </w:r>
            <w:r>
              <w:t>；60-80%</w:t>
            </w:r>
            <w:r>
              <w:rPr>
                <w:rFonts w:hint="eastAsia"/>
              </w:rPr>
              <w:t>之间（3分）</w:t>
            </w:r>
            <w:r>
              <w:t>；</w:t>
            </w:r>
            <w:r>
              <w:rPr>
                <w:rFonts w:hint="eastAsia"/>
              </w:rPr>
              <w:t>低于6</w:t>
            </w:r>
            <w:r>
              <w:t>0%</w:t>
            </w:r>
            <w:r>
              <w:rPr>
                <w:rFonts w:hint="eastAsia"/>
              </w:rPr>
              <w:t>（0分）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本专业本年度应届毕业生考取职业资格证书、职业技能等级证书等情况（1</w:t>
            </w:r>
            <w:r>
              <w:t>0</w:t>
            </w:r>
            <w:r>
              <w:rPr>
                <w:rFonts w:hint="eastAsia"/>
              </w:rPr>
              <w:t>分）</w:t>
            </w:r>
          </w:p>
        </w:tc>
        <w:tc>
          <w:tcPr>
            <w:tcW w:w="5710" w:type="dxa"/>
          </w:tcPr>
          <w:p>
            <w:pPr>
              <w:rPr>
                <w:szCs w:val="21"/>
              </w:rPr>
            </w:pPr>
            <w:r>
              <w:rPr>
                <w:rFonts w:hint="eastAsia"/>
                <w:szCs w:val="21"/>
              </w:rPr>
              <w:t>1</w:t>
            </w:r>
            <w:r>
              <w:rPr>
                <w:szCs w:val="21"/>
              </w:rPr>
              <w:t>00%</w:t>
            </w:r>
            <w:r>
              <w:rPr>
                <w:rFonts w:hint="eastAsia"/>
                <w:szCs w:val="21"/>
              </w:rPr>
              <w:t>考取至少1个证书（1</w:t>
            </w:r>
            <w:r>
              <w:rPr>
                <w:szCs w:val="21"/>
              </w:rPr>
              <w:t>0</w:t>
            </w:r>
            <w:r>
              <w:rPr>
                <w:rFonts w:hint="eastAsia"/>
                <w:szCs w:val="21"/>
              </w:rPr>
              <w:t>分）</w:t>
            </w:r>
            <w:r>
              <w:rPr>
                <w:szCs w:val="21"/>
              </w:rPr>
              <w:t>；</w:t>
            </w:r>
            <w:r>
              <w:rPr>
                <w:rFonts w:hint="eastAsia"/>
                <w:szCs w:val="21"/>
              </w:rPr>
              <w:t>不低于9</w:t>
            </w:r>
            <w:r>
              <w:rPr>
                <w:szCs w:val="21"/>
              </w:rPr>
              <w:t>5%</w:t>
            </w:r>
            <w:r>
              <w:rPr>
                <w:rFonts w:hint="eastAsia"/>
                <w:szCs w:val="21"/>
              </w:rPr>
              <w:t>考取至少1个证书（8分）</w:t>
            </w:r>
            <w:r>
              <w:rPr>
                <w:szCs w:val="21"/>
              </w:rPr>
              <w:t>；</w:t>
            </w:r>
            <w:r>
              <w:rPr>
                <w:rFonts w:hint="eastAsia"/>
                <w:szCs w:val="21"/>
              </w:rPr>
              <w:t>不低于9</w:t>
            </w:r>
            <w:r>
              <w:rPr>
                <w:szCs w:val="21"/>
              </w:rPr>
              <w:t>0%</w:t>
            </w:r>
            <w:r>
              <w:rPr>
                <w:rFonts w:hint="eastAsia"/>
                <w:szCs w:val="21"/>
              </w:rPr>
              <w:t>的毕业生考取了至少1个证书（6分）</w:t>
            </w:r>
            <w:r>
              <w:rPr>
                <w:szCs w:val="21"/>
              </w:rPr>
              <w:t>；</w:t>
            </w:r>
            <w:r>
              <w:rPr>
                <w:rFonts w:hint="eastAsia"/>
                <w:szCs w:val="21"/>
              </w:rPr>
              <w:t>考取至少一个证书学生不到9</w:t>
            </w:r>
            <w:r>
              <w:rPr>
                <w:szCs w:val="21"/>
              </w:rPr>
              <w:t>0%</w:t>
            </w:r>
            <w:r>
              <w:rPr>
                <w:rFonts w:hint="eastAsia"/>
                <w:szCs w:val="21"/>
              </w:rPr>
              <w:t>（0分）</w:t>
            </w:r>
          </w:p>
          <w:p>
            <w:r>
              <w:rPr>
                <w:szCs w:val="21"/>
              </w:rPr>
              <w:t>（</w:t>
            </w:r>
            <w:r>
              <w:rPr>
                <w:rFonts w:hint="eastAsia"/>
                <w:szCs w:val="21"/>
              </w:rPr>
              <w:t>只取最高一项</w:t>
            </w:r>
            <w:r>
              <w:rPr>
                <w:szCs w:val="21"/>
              </w:rPr>
              <w:t>）</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培养方案制定修订</w:t>
            </w:r>
          </w:p>
          <w:p>
            <w:pPr>
              <w:jc w:val="center"/>
              <w:rPr>
                <w:rFonts w:ascii="楷体" w:hAnsi="楷体" w:eastAsia="楷体" w:cs="楷体"/>
                <w:b/>
                <w:sz w:val="24"/>
                <w:szCs w:val="24"/>
              </w:rPr>
            </w:pPr>
            <w:r>
              <w:rPr>
                <w:rFonts w:hint="eastAsia" w:ascii="楷体" w:hAnsi="楷体" w:eastAsia="楷体" w:cs="楷体"/>
                <w:b/>
                <w:sz w:val="24"/>
                <w:szCs w:val="24"/>
              </w:rPr>
              <w:t>（40分）</w:t>
            </w:r>
          </w:p>
        </w:tc>
        <w:tc>
          <w:tcPr>
            <w:tcW w:w="5500" w:type="dxa"/>
            <w:vAlign w:val="center"/>
          </w:tcPr>
          <w:p>
            <w:r>
              <w:rPr>
                <w:rFonts w:hint="eastAsia"/>
              </w:rPr>
              <w:t>请用矩阵图说明本专业课程体系与培养规格之间的对应关系（详细说明各门课程及其他培养环节和培养形式对培养规格支撑关系，全校公共基础课和公共选修课除外，具体要求</w:t>
            </w:r>
            <w:r>
              <w:t>见附件1</w:t>
            </w:r>
            <w:r>
              <w:rPr>
                <w:rFonts w:hint="eastAsia"/>
              </w:rPr>
              <w:t>）（2</w:t>
            </w:r>
            <w:r>
              <w:t>0</w:t>
            </w:r>
            <w:r>
              <w:rPr>
                <w:rFonts w:hint="eastAsia"/>
              </w:rPr>
              <w:t>分）</w:t>
            </w:r>
          </w:p>
        </w:tc>
        <w:tc>
          <w:tcPr>
            <w:tcW w:w="5710" w:type="dxa"/>
          </w:tcPr>
          <w:p>
            <w:r>
              <w:rPr>
                <w:rFonts w:hint="eastAsia"/>
                <w:szCs w:val="21"/>
              </w:rPr>
              <w:t>矩阵图清晰，培养规格和培养目标之间有紧密的对应支撑关系，关系合理，无明显瑕疵（1</w:t>
            </w:r>
            <w:r>
              <w:rPr>
                <w:szCs w:val="21"/>
              </w:rPr>
              <w:t>5-20分</w:t>
            </w:r>
            <w:r>
              <w:rPr>
                <w:rFonts w:hint="eastAsia"/>
                <w:szCs w:val="21"/>
              </w:rPr>
              <w:t>）</w:t>
            </w:r>
            <w:r>
              <w:rPr>
                <w:szCs w:val="21"/>
              </w:rPr>
              <w:t>；</w:t>
            </w:r>
            <w:r>
              <w:rPr>
                <w:rFonts w:hint="eastAsia"/>
                <w:szCs w:val="21"/>
              </w:rPr>
              <w:t>对应支撑关系不紧密，有明显漏洞或瑕疵（1</w:t>
            </w:r>
            <w:r>
              <w:rPr>
                <w:szCs w:val="21"/>
              </w:rPr>
              <w:t>0-15</w:t>
            </w:r>
            <w:r>
              <w:rPr>
                <w:rFonts w:hint="eastAsia"/>
                <w:szCs w:val="21"/>
              </w:rPr>
              <w:t>分）</w:t>
            </w:r>
            <w:r>
              <w:rPr>
                <w:szCs w:val="21"/>
              </w:rPr>
              <w:t>；</w:t>
            </w:r>
            <w:r>
              <w:rPr>
                <w:rFonts w:hint="eastAsia"/>
                <w:szCs w:val="21"/>
              </w:rPr>
              <w:t>逻辑关系混乱，缺乏严谨对应支撑关系（0</w:t>
            </w:r>
            <w:r>
              <w:rPr>
                <w:szCs w:val="21"/>
              </w:rPr>
              <w:t>-10</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本专业现行培养方案体现职教特色的情况（从课程体系、课程内容、实训实习安排、岗课赛证结合等方面予以说明）（2</w:t>
            </w:r>
            <w:r>
              <w:t>0</w:t>
            </w:r>
            <w:r>
              <w:rPr>
                <w:rFonts w:hint="eastAsia"/>
              </w:rPr>
              <w:t>分）</w:t>
            </w:r>
          </w:p>
        </w:tc>
        <w:tc>
          <w:tcPr>
            <w:tcW w:w="5710" w:type="dxa"/>
          </w:tcPr>
          <w:p>
            <w:r>
              <w:rPr>
                <w:rFonts w:hint="eastAsia"/>
                <w:szCs w:val="21"/>
              </w:rPr>
              <w:t>思路清晰，非常符合职业教育人才培养特点（1</w:t>
            </w:r>
            <w:r>
              <w:rPr>
                <w:szCs w:val="21"/>
              </w:rPr>
              <w:t>5-20</w:t>
            </w:r>
            <w:r>
              <w:rPr>
                <w:rFonts w:hint="eastAsia"/>
                <w:szCs w:val="21"/>
              </w:rPr>
              <w:t>分）</w:t>
            </w:r>
            <w:r>
              <w:rPr>
                <w:szCs w:val="21"/>
              </w:rPr>
              <w:t>；</w:t>
            </w:r>
            <w:r>
              <w:rPr>
                <w:rFonts w:hint="eastAsia"/>
                <w:szCs w:val="21"/>
              </w:rPr>
              <w:t>大体上能够体现理实结合、工学结合、知识和能力并重的职教理念（1</w:t>
            </w:r>
            <w:r>
              <w:rPr>
                <w:szCs w:val="21"/>
              </w:rPr>
              <w:t>0-14</w:t>
            </w:r>
            <w:r>
              <w:rPr>
                <w:rFonts w:hint="eastAsia"/>
                <w:szCs w:val="21"/>
              </w:rPr>
              <w:t>分）</w:t>
            </w:r>
            <w:r>
              <w:rPr>
                <w:szCs w:val="21"/>
              </w:rPr>
              <w:t>；</w:t>
            </w:r>
            <w:r>
              <w:rPr>
                <w:rFonts w:hint="eastAsia"/>
                <w:szCs w:val="21"/>
              </w:rPr>
              <w:t>职教特色不明显（0</w:t>
            </w:r>
            <w:r>
              <w:rPr>
                <w:szCs w:val="21"/>
              </w:rPr>
              <w:t>-9</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课程建设</w:t>
            </w:r>
          </w:p>
          <w:p>
            <w:pPr>
              <w:jc w:val="center"/>
              <w:rPr>
                <w:rFonts w:ascii="楷体" w:hAnsi="楷体" w:eastAsia="楷体" w:cs="楷体"/>
                <w:b/>
                <w:sz w:val="24"/>
                <w:szCs w:val="24"/>
              </w:rPr>
            </w:pPr>
            <w:r>
              <w:rPr>
                <w:rFonts w:hint="eastAsia" w:ascii="楷体" w:hAnsi="楷体" w:eastAsia="楷体" w:cs="楷体"/>
                <w:b/>
                <w:sz w:val="24"/>
                <w:szCs w:val="24"/>
              </w:rPr>
              <w:t>（40分）</w:t>
            </w:r>
          </w:p>
        </w:tc>
        <w:tc>
          <w:tcPr>
            <w:tcW w:w="5500" w:type="dxa"/>
            <w:vAlign w:val="center"/>
          </w:tcPr>
          <w:p>
            <w:r>
              <w:rPr>
                <w:rFonts w:hint="eastAsia"/>
              </w:rPr>
              <w:t>本专业加强课程建设的基本思路和举措（包括优化师课匹配，建立教学团队，制定建设规划，实施项目建设，以及建设效果和评价机制等）；（2</w:t>
            </w:r>
            <w:r>
              <w:t>0</w:t>
            </w:r>
            <w:r>
              <w:rPr>
                <w:rFonts w:hint="eastAsia"/>
              </w:rPr>
              <w:t>分）</w:t>
            </w:r>
          </w:p>
        </w:tc>
        <w:tc>
          <w:tcPr>
            <w:tcW w:w="5710" w:type="dxa"/>
          </w:tcPr>
          <w:p>
            <w:pPr>
              <w:rPr>
                <w:szCs w:val="21"/>
              </w:rPr>
            </w:pPr>
            <w:r>
              <w:rPr>
                <w:rFonts w:hint="eastAsia"/>
                <w:szCs w:val="21"/>
              </w:rPr>
              <w:t>思路清晰，有规划有措施，成效显著（1</w:t>
            </w:r>
            <w:r>
              <w:rPr>
                <w:szCs w:val="21"/>
              </w:rPr>
              <w:t>5-20分）；</w:t>
            </w:r>
            <w:r>
              <w:rPr>
                <w:rFonts w:hint="eastAsia"/>
                <w:szCs w:val="21"/>
              </w:rPr>
              <w:t>无规划但具体措施扎实有效（1</w:t>
            </w:r>
            <w:r>
              <w:rPr>
                <w:szCs w:val="21"/>
              </w:rPr>
              <w:t>0-14</w:t>
            </w:r>
            <w:r>
              <w:rPr>
                <w:rFonts w:hint="eastAsia"/>
                <w:szCs w:val="21"/>
              </w:rPr>
              <w:t>分）</w:t>
            </w:r>
            <w:r>
              <w:rPr>
                <w:szCs w:val="21"/>
              </w:rPr>
              <w:t>；</w:t>
            </w:r>
            <w:r>
              <w:rPr>
                <w:rFonts w:hint="eastAsia"/>
                <w:szCs w:val="21"/>
              </w:rPr>
              <w:t>有规划有措施，效果一般（</w:t>
            </w:r>
            <w:r>
              <w:rPr>
                <w:szCs w:val="21"/>
              </w:rPr>
              <w:t>6-9</w:t>
            </w:r>
            <w:r>
              <w:rPr>
                <w:rFonts w:hint="eastAsia"/>
                <w:szCs w:val="21"/>
              </w:rPr>
              <w:t>分）</w:t>
            </w:r>
            <w:r>
              <w:rPr>
                <w:szCs w:val="21"/>
              </w:rPr>
              <w:t>；</w:t>
            </w:r>
            <w:r>
              <w:rPr>
                <w:rFonts w:hint="eastAsia"/>
                <w:szCs w:val="21"/>
              </w:rPr>
              <w:t>工作无头绪，措施不得力（0</w:t>
            </w:r>
            <w:r>
              <w:rPr>
                <w:szCs w:val="21"/>
              </w:rPr>
              <w:t>-5</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本专业数字化课程（在线精品</w:t>
            </w:r>
            <w:r>
              <w:t>课程</w:t>
            </w:r>
            <w:r>
              <w:rPr>
                <w:rFonts w:hint="eastAsia"/>
              </w:rPr>
              <w:t>）建设计划和建设成效（1</w:t>
            </w:r>
            <w:r>
              <w:t>0</w:t>
            </w:r>
            <w:r>
              <w:rPr>
                <w:rFonts w:hint="eastAsia"/>
              </w:rPr>
              <w:t>分）</w:t>
            </w:r>
          </w:p>
        </w:tc>
        <w:tc>
          <w:tcPr>
            <w:tcW w:w="5710" w:type="dxa"/>
          </w:tcPr>
          <w:p>
            <w:pPr>
              <w:rPr>
                <w:szCs w:val="21"/>
              </w:rPr>
            </w:pPr>
            <w:r>
              <w:rPr>
                <w:rFonts w:hint="eastAsia"/>
                <w:szCs w:val="21"/>
              </w:rPr>
              <w:t>思路清晰，有规划有措施，成效显著（7</w:t>
            </w:r>
            <w:r>
              <w:rPr>
                <w:szCs w:val="21"/>
              </w:rPr>
              <w:t>-10分）；</w:t>
            </w:r>
            <w:r>
              <w:rPr>
                <w:rFonts w:hint="eastAsia"/>
                <w:szCs w:val="21"/>
              </w:rPr>
              <w:t>无规划但具体措施扎实有效（6</w:t>
            </w:r>
            <w:r>
              <w:rPr>
                <w:szCs w:val="21"/>
              </w:rPr>
              <w:t>-8</w:t>
            </w:r>
            <w:r>
              <w:rPr>
                <w:rFonts w:hint="eastAsia"/>
                <w:szCs w:val="21"/>
              </w:rPr>
              <w:t>分）</w:t>
            </w:r>
            <w:r>
              <w:rPr>
                <w:szCs w:val="21"/>
              </w:rPr>
              <w:t>；</w:t>
            </w:r>
            <w:r>
              <w:rPr>
                <w:rFonts w:hint="eastAsia"/>
                <w:szCs w:val="21"/>
              </w:rPr>
              <w:t>有规划有措施，效果一般（2</w:t>
            </w:r>
            <w:r>
              <w:rPr>
                <w:szCs w:val="21"/>
              </w:rPr>
              <w:t>-5</w:t>
            </w:r>
            <w:r>
              <w:rPr>
                <w:rFonts w:hint="eastAsia"/>
                <w:szCs w:val="21"/>
              </w:rPr>
              <w:t>分）</w:t>
            </w:r>
            <w:r>
              <w:rPr>
                <w:szCs w:val="21"/>
              </w:rPr>
              <w:t>；</w:t>
            </w:r>
            <w:r>
              <w:rPr>
                <w:rFonts w:hint="eastAsia"/>
                <w:szCs w:val="21"/>
              </w:rPr>
              <w:t>工作无头绪，措施不得力（0分）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本专业课程思政开展情况（1</w:t>
            </w:r>
            <w:r>
              <w:t>0</w:t>
            </w:r>
            <w:r>
              <w:rPr>
                <w:rFonts w:hint="eastAsia"/>
              </w:rPr>
              <w:t>分）</w:t>
            </w:r>
          </w:p>
        </w:tc>
        <w:tc>
          <w:tcPr>
            <w:tcW w:w="5710" w:type="dxa"/>
          </w:tcPr>
          <w:p>
            <w:pPr>
              <w:rPr>
                <w:szCs w:val="21"/>
              </w:rPr>
            </w:pPr>
            <w:r>
              <w:rPr>
                <w:rFonts w:hint="eastAsia"/>
                <w:szCs w:val="21"/>
              </w:rPr>
              <w:t>思路清晰，有规划有措施，成效显著（</w:t>
            </w:r>
            <w:r>
              <w:rPr>
                <w:szCs w:val="21"/>
              </w:rPr>
              <w:t>7-10</w:t>
            </w:r>
            <w:r>
              <w:rPr>
                <w:rFonts w:hint="eastAsia"/>
                <w:szCs w:val="21"/>
              </w:rPr>
              <w:t>分）；无规划但具体措施扎实有效（3</w:t>
            </w:r>
            <w:r>
              <w:rPr>
                <w:szCs w:val="21"/>
              </w:rPr>
              <w:t>-6</w:t>
            </w:r>
            <w:r>
              <w:rPr>
                <w:rFonts w:hint="eastAsia"/>
                <w:szCs w:val="21"/>
              </w:rPr>
              <w:t>分）</w:t>
            </w:r>
            <w:r>
              <w:rPr>
                <w:szCs w:val="21"/>
              </w:rPr>
              <w:t>；</w:t>
            </w:r>
            <w:r>
              <w:rPr>
                <w:rFonts w:hint="eastAsia"/>
                <w:szCs w:val="21"/>
              </w:rPr>
              <w:t>有规划有措施，效果一般（1</w:t>
            </w:r>
            <w:r>
              <w:rPr>
                <w:szCs w:val="21"/>
              </w:rPr>
              <w:t>-</w:t>
            </w:r>
            <w:r>
              <w:rPr>
                <w:rFonts w:hint="eastAsia"/>
                <w:szCs w:val="21"/>
              </w:rPr>
              <w:t>2分）</w:t>
            </w:r>
            <w:r>
              <w:rPr>
                <w:szCs w:val="21"/>
              </w:rPr>
              <w:t>；</w:t>
            </w:r>
            <w:r>
              <w:rPr>
                <w:rFonts w:hint="eastAsia"/>
                <w:szCs w:val="21"/>
              </w:rPr>
              <w:t>工作无头绪，措施不得力（0分）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教材和教学</w:t>
            </w:r>
          </w:p>
          <w:p>
            <w:pPr>
              <w:jc w:val="center"/>
              <w:rPr>
                <w:rFonts w:ascii="楷体" w:hAnsi="楷体" w:eastAsia="楷体" w:cs="楷体"/>
                <w:b/>
                <w:sz w:val="24"/>
                <w:szCs w:val="24"/>
              </w:rPr>
            </w:pPr>
            <w:r>
              <w:rPr>
                <w:rFonts w:hint="eastAsia" w:ascii="楷体" w:hAnsi="楷体" w:eastAsia="楷体" w:cs="楷体"/>
                <w:b/>
                <w:sz w:val="24"/>
                <w:szCs w:val="24"/>
              </w:rPr>
              <w:t>资源建设</w:t>
            </w:r>
          </w:p>
          <w:p>
            <w:pPr>
              <w:jc w:val="center"/>
              <w:rPr>
                <w:rFonts w:ascii="楷体" w:hAnsi="楷体" w:eastAsia="楷体" w:cs="楷体"/>
                <w:b/>
                <w:sz w:val="24"/>
                <w:szCs w:val="24"/>
              </w:rPr>
            </w:pPr>
            <w:r>
              <w:rPr>
                <w:rFonts w:hint="eastAsia" w:ascii="楷体" w:hAnsi="楷体" w:eastAsia="楷体" w:cs="楷体"/>
                <w:b/>
                <w:sz w:val="24"/>
                <w:szCs w:val="24"/>
              </w:rPr>
              <w:t>(30分)</w:t>
            </w:r>
          </w:p>
        </w:tc>
        <w:tc>
          <w:tcPr>
            <w:tcW w:w="5500" w:type="dxa"/>
            <w:vAlign w:val="center"/>
          </w:tcPr>
          <w:p>
            <w:r>
              <w:rPr>
                <w:rFonts w:hint="eastAsia"/>
              </w:rPr>
              <w:t>本专业教材建设与管理的基本思路、举措及取得的成效（包括制度和机制建设；高水平教材的自主或合作开发；适合本校特点的校本教材、活页教材、实训手册开发；网络公开课程和教学资源的使用等）（2</w:t>
            </w:r>
            <w:r>
              <w:t>0</w:t>
            </w:r>
            <w:r>
              <w:rPr>
                <w:rFonts w:hint="eastAsia"/>
              </w:rPr>
              <w:t>分）</w:t>
            </w:r>
          </w:p>
        </w:tc>
        <w:tc>
          <w:tcPr>
            <w:tcW w:w="5710" w:type="dxa"/>
          </w:tcPr>
          <w:p>
            <w:pPr>
              <w:rPr>
                <w:szCs w:val="21"/>
              </w:rPr>
            </w:pPr>
            <w:r>
              <w:rPr>
                <w:rFonts w:hint="eastAsia"/>
                <w:szCs w:val="21"/>
              </w:rPr>
              <w:t>思路清晰，有规划有措施，成效显著（1</w:t>
            </w:r>
            <w:r>
              <w:rPr>
                <w:szCs w:val="21"/>
              </w:rPr>
              <w:t>5-20分）；</w:t>
            </w:r>
            <w:r>
              <w:rPr>
                <w:rFonts w:hint="eastAsia"/>
                <w:szCs w:val="21"/>
              </w:rPr>
              <w:t>无规划但具体措施扎实有效（1</w:t>
            </w:r>
            <w:r>
              <w:rPr>
                <w:szCs w:val="21"/>
              </w:rPr>
              <w:t>0-14</w:t>
            </w:r>
            <w:r>
              <w:rPr>
                <w:rFonts w:hint="eastAsia"/>
                <w:szCs w:val="21"/>
              </w:rPr>
              <w:t>分）</w:t>
            </w:r>
            <w:r>
              <w:rPr>
                <w:szCs w:val="21"/>
              </w:rPr>
              <w:t>；</w:t>
            </w:r>
            <w:r>
              <w:rPr>
                <w:rFonts w:hint="eastAsia"/>
                <w:szCs w:val="21"/>
              </w:rPr>
              <w:t>有规划有措施，效果一般（</w:t>
            </w:r>
            <w:r>
              <w:rPr>
                <w:szCs w:val="21"/>
              </w:rPr>
              <w:t>6-9</w:t>
            </w:r>
            <w:r>
              <w:rPr>
                <w:rFonts w:hint="eastAsia"/>
                <w:szCs w:val="21"/>
              </w:rPr>
              <w:t>分）</w:t>
            </w:r>
            <w:r>
              <w:rPr>
                <w:szCs w:val="21"/>
              </w:rPr>
              <w:t>；</w:t>
            </w:r>
            <w:r>
              <w:rPr>
                <w:rFonts w:hint="eastAsia"/>
                <w:szCs w:val="21"/>
              </w:rPr>
              <w:t>工作无头绪，措施不得力（0</w:t>
            </w:r>
            <w:r>
              <w:rPr>
                <w:szCs w:val="21"/>
              </w:rPr>
              <w:t>-5</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本专业教学资源库建设成效（1</w:t>
            </w:r>
            <w:r>
              <w:t>0</w:t>
            </w:r>
            <w:r>
              <w:rPr>
                <w:rFonts w:hint="eastAsia"/>
              </w:rPr>
              <w:t>分）</w:t>
            </w:r>
          </w:p>
        </w:tc>
        <w:tc>
          <w:tcPr>
            <w:tcW w:w="5710" w:type="dxa"/>
          </w:tcPr>
          <w:p>
            <w:pPr>
              <w:rPr>
                <w:szCs w:val="21"/>
              </w:rPr>
            </w:pPr>
            <w:r>
              <w:rPr>
                <w:rFonts w:hint="eastAsia"/>
                <w:szCs w:val="21"/>
              </w:rPr>
              <w:t>思路清晰，有规划有措施，成效显著（7</w:t>
            </w:r>
            <w:r>
              <w:rPr>
                <w:szCs w:val="21"/>
              </w:rPr>
              <w:t>-10分）；</w:t>
            </w:r>
            <w:r>
              <w:rPr>
                <w:rFonts w:hint="eastAsia"/>
                <w:szCs w:val="21"/>
              </w:rPr>
              <w:t>无规划但具体措施扎实有效（6</w:t>
            </w:r>
            <w:r>
              <w:rPr>
                <w:szCs w:val="21"/>
              </w:rPr>
              <w:t>-8</w:t>
            </w:r>
            <w:r>
              <w:rPr>
                <w:rFonts w:hint="eastAsia"/>
                <w:szCs w:val="21"/>
              </w:rPr>
              <w:t>分）</w:t>
            </w:r>
            <w:r>
              <w:rPr>
                <w:szCs w:val="21"/>
              </w:rPr>
              <w:t>；</w:t>
            </w:r>
            <w:r>
              <w:rPr>
                <w:rFonts w:hint="eastAsia"/>
                <w:szCs w:val="21"/>
              </w:rPr>
              <w:t>有规划有措施，效果一般（2</w:t>
            </w:r>
            <w:r>
              <w:rPr>
                <w:szCs w:val="21"/>
              </w:rPr>
              <w:t>-5</w:t>
            </w:r>
            <w:r>
              <w:rPr>
                <w:rFonts w:hint="eastAsia"/>
                <w:szCs w:val="21"/>
              </w:rPr>
              <w:t>分）</w:t>
            </w:r>
            <w:r>
              <w:rPr>
                <w:szCs w:val="21"/>
              </w:rPr>
              <w:t>；</w:t>
            </w:r>
            <w:r>
              <w:rPr>
                <w:rFonts w:hint="eastAsia"/>
                <w:szCs w:val="21"/>
              </w:rPr>
              <w:t>工作无头绪，措施不得力（0分）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课堂教学改革（60分）</w:t>
            </w:r>
          </w:p>
        </w:tc>
        <w:tc>
          <w:tcPr>
            <w:tcW w:w="5500" w:type="dxa"/>
            <w:vAlign w:val="center"/>
          </w:tcPr>
          <w:p>
            <w:r>
              <w:rPr>
                <w:rFonts w:hint="eastAsia"/>
              </w:rPr>
              <w:t>本专业开展课堂教学改革的基本情况（包括教学方式方法和考核评价方式改革等）；（2</w:t>
            </w:r>
            <w:r>
              <w:t>0</w:t>
            </w:r>
            <w:r>
              <w:rPr>
                <w:rFonts w:hint="eastAsia"/>
              </w:rPr>
              <w:t>分）</w:t>
            </w:r>
          </w:p>
        </w:tc>
        <w:tc>
          <w:tcPr>
            <w:tcW w:w="5710" w:type="dxa"/>
          </w:tcPr>
          <w:p>
            <w:pPr>
              <w:rPr>
                <w:szCs w:val="21"/>
              </w:rPr>
            </w:pPr>
            <w:r>
              <w:rPr>
                <w:rFonts w:hint="eastAsia"/>
                <w:szCs w:val="21"/>
              </w:rPr>
              <w:t>在全体教师中全面开展课堂革命，效果良好，学生满意度收获感高（1</w:t>
            </w:r>
            <w:r>
              <w:rPr>
                <w:szCs w:val="21"/>
              </w:rPr>
              <w:t>6-20</w:t>
            </w:r>
            <w:r>
              <w:rPr>
                <w:rFonts w:hint="eastAsia"/>
                <w:szCs w:val="21"/>
              </w:rPr>
              <w:t>分）</w:t>
            </w:r>
            <w:r>
              <w:rPr>
                <w:szCs w:val="21"/>
              </w:rPr>
              <w:t>；</w:t>
            </w:r>
            <w:r>
              <w:rPr>
                <w:rFonts w:hint="eastAsia"/>
                <w:szCs w:val="21"/>
              </w:rPr>
              <w:t>在部分教师中间开展课堂教学改革，成效良好（1</w:t>
            </w:r>
            <w:r>
              <w:rPr>
                <w:szCs w:val="21"/>
              </w:rPr>
              <w:t>0-15</w:t>
            </w:r>
            <w:r>
              <w:rPr>
                <w:rFonts w:hint="eastAsia"/>
                <w:szCs w:val="21"/>
              </w:rPr>
              <w:t>分）</w:t>
            </w:r>
            <w:r>
              <w:rPr>
                <w:szCs w:val="21"/>
              </w:rPr>
              <w:t>；</w:t>
            </w:r>
            <w:r>
              <w:rPr>
                <w:rFonts w:hint="eastAsia"/>
                <w:szCs w:val="21"/>
              </w:rPr>
              <w:t>只有少数教师主动开展课堂教学改革，效果良好（6</w:t>
            </w:r>
            <w:r>
              <w:rPr>
                <w:szCs w:val="21"/>
              </w:rPr>
              <w:t>-9</w:t>
            </w:r>
            <w:r>
              <w:rPr>
                <w:rFonts w:hint="eastAsia"/>
                <w:szCs w:val="21"/>
              </w:rPr>
              <w:t>分）</w:t>
            </w:r>
            <w:r>
              <w:rPr>
                <w:szCs w:val="21"/>
              </w:rPr>
              <w:t>；</w:t>
            </w:r>
            <w:r>
              <w:rPr>
                <w:rFonts w:hint="eastAsia"/>
                <w:szCs w:val="21"/>
              </w:rPr>
              <w:t>没有开展</w:t>
            </w:r>
            <w:r>
              <w:rPr>
                <w:szCs w:val="21"/>
              </w:rPr>
              <w:t>（0-5分）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本专业在每学期考试结束后，立足长远规划开展有效的考试结果分析的情况，及这种分析对改进今后教学工作所发挥的作用（5分）</w:t>
            </w:r>
          </w:p>
        </w:tc>
        <w:tc>
          <w:tcPr>
            <w:tcW w:w="5710" w:type="dxa"/>
          </w:tcPr>
          <w:p>
            <w:pPr>
              <w:rPr>
                <w:szCs w:val="21"/>
              </w:rPr>
            </w:pPr>
            <w:r>
              <w:rPr>
                <w:rFonts w:hint="eastAsia"/>
                <w:szCs w:val="21"/>
              </w:rPr>
              <w:t>有结果分析，并提出针对性的改进思路（5分）</w:t>
            </w:r>
            <w:r>
              <w:rPr>
                <w:szCs w:val="21"/>
              </w:rPr>
              <w:t>；</w:t>
            </w:r>
            <w:r>
              <w:rPr>
                <w:rFonts w:hint="eastAsia"/>
                <w:szCs w:val="21"/>
              </w:rPr>
              <w:t>有结果分析，没有改进报告（3分）</w:t>
            </w:r>
            <w:r>
              <w:rPr>
                <w:szCs w:val="21"/>
              </w:rPr>
              <w:t>；</w:t>
            </w:r>
            <w:r>
              <w:rPr>
                <w:rFonts w:hint="eastAsia"/>
                <w:szCs w:val="21"/>
              </w:rPr>
              <w:t>既没结果分析，也无改进报告（0分）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本专业开展同行间相互听课评课，互相学习，相互促进的情况（10分）</w:t>
            </w:r>
          </w:p>
        </w:tc>
        <w:tc>
          <w:tcPr>
            <w:tcW w:w="5710" w:type="dxa"/>
          </w:tcPr>
          <w:p>
            <w:pPr>
              <w:rPr>
                <w:szCs w:val="21"/>
              </w:rPr>
            </w:pPr>
            <w:r>
              <w:rPr>
                <w:rFonts w:hint="eastAsia"/>
                <w:szCs w:val="21"/>
              </w:rPr>
              <w:t>广泛开展同行听评议课，长期坚持，效果显著（10分）</w:t>
            </w:r>
            <w:r>
              <w:rPr>
                <w:szCs w:val="21"/>
              </w:rPr>
              <w:t>；</w:t>
            </w:r>
            <w:r>
              <w:rPr>
                <w:rFonts w:hint="eastAsia"/>
                <w:szCs w:val="21"/>
              </w:rPr>
              <w:t>偶尔开展同行听评议课，效果一般（5分）</w:t>
            </w:r>
            <w:r>
              <w:rPr>
                <w:szCs w:val="21"/>
              </w:rPr>
              <w:t>；</w:t>
            </w:r>
            <w:r>
              <w:rPr>
                <w:rFonts w:hint="eastAsia"/>
                <w:szCs w:val="21"/>
              </w:rPr>
              <w:t>很少或从未组织过同行间听评议课活动（0</w:t>
            </w:r>
            <w:r>
              <w:rPr>
                <w:szCs w:val="21"/>
              </w:rPr>
              <w:t>-</w:t>
            </w:r>
            <w:r>
              <w:rPr>
                <w:rFonts w:hint="eastAsia"/>
                <w:szCs w:val="21"/>
              </w:rPr>
              <w:t>4分）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本专业对新开课程和开新课教师的管理情况（5分）</w:t>
            </w:r>
          </w:p>
        </w:tc>
        <w:tc>
          <w:tcPr>
            <w:tcW w:w="5710" w:type="dxa"/>
          </w:tcPr>
          <w:p>
            <w:pPr>
              <w:rPr>
                <w:szCs w:val="21"/>
              </w:rPr>
            </w:pPr>
            <w:r>
              <w:rPr>
                <w:rFonts w:hint="eastAsia"/>
                <w:szCs w:val="21"/>
              </w:rPr>
              <w:t>有明确的管理规定，对开新课老师和新开课程有完善的质量管控办法（5分）</w:t>
            </w:r>
            <w:r>
              <w:rPr>
                <w:szCs w:val="21"/>
              </w:rPr>
              <w:t>；</w:t>
            </w:r>
            <w:r>
              <w:rPr>
                <w:rFonts w:hint="eastAsia"/>
                <w:szCs w:val="21"/>
              </w:rPr>
              <w:t>没有相应制度和质量</w:t>
            </w:r>
            <w:r>
              <w:rPr>
                <w:szCs w:val="21"/>
              </w:rPr>
              <w:t>管</w:t>
            </w:r>
            <w:r>
              <w:rPr>
                <w:rFonts w:hint="eastAsia"/>
                <w:szCs w:val="21"/>
              </w:rPr>
              <w:t>控措施（0分）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本专业了解学生对课程教学的反馈，形成有效闭环管理，有效提升课堂教学效果的措施。（1</w:t>
            </w:r>
            <w:r>
              <w:t>0</w:t>
            </w:r>
            <w:r>
              <w:rPr>
                <w:rFonts w:hint="eastAsia"/>
              </w:rPr>
              <w:t>分）</w:t>
            </w:r>
          </w:p>
        </w:tc>
        <w:tc>
          <w:tcPr>
            <w:tcW w:w="5710" w:type="dxa"/>
          </w:tcPr>
          <w:p>
            <w:pPr>
              <w:rPr>
                <w:szCs w:val="21"/>
              </w:rPr>
            </w:pPr>
            <w:r>
              <w:rPr>
                <w:rFonts w:hint="eastAsia"/>
                <w:szCs w:val="21"/>
              </w:rPr>
              <w:t>在学校的教学督导和评估之外，本专业有自己的一套收集学生学习效果和意见建议的反馈系统，能帮助老师及时改进课堂教学（</w:t>
            </w:r>
            <w:r>
              <w:rPr>
                <w:szCs w:val="21"/>
              </w:rPr>
              <w:t>10</w:t>
            </w:r>
            <w:r>
              <w:rPr>
                <w:rFonts w:hint="eastAsia"/>
                <w:szCs w:val="21"/>
              </w:rPr>
              <w:t>分）</w:t>
            </w:r>
            <w:r>
              <w:rPr>
                <w:szCs w:val="21"/>
              </w:rPr>
              <w:t>；</w:t>
            </w:r>
            <w:r>
              <w:rPr>
                <w:rFonts w:hint="eastAsia"/>
                <w:szCs w:val="21"/>
              </w:rPr>
              <w:t>没有相应制度和措施（0分）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本专业教研室发挥作用的情况（1</w:t>
            </w:r>
            <w:r>
              <w:t>0</w:t>
            </w:r>
            <w:r>
              <w:rPr>
                <w:rFonts w:hint="eastAsia"/>
              </w:rPr>
              <w:t>分）</w:t>
            </w:r>
          </w:p>
        </w:tc>
        <w:tc>
          <w:tcPr>
            <w:tcW w:w="5710" w:type="dxa"/>
          </w:tcPr>
          <w:p>
            <w:pPr>
              <w:rPr>
                <w:szCs w:val="21"/>
              </w:rPr>
            </w:pPr>
            <w:r>
              <w:rPr>
                <w:rFonts w:hint="eastAsia"/>
                <w:szCs w:val="21"/>
              </w:rPr>
              <w:t>教研室有年度和学期工作计划，计划覆盖人才培养的全环节、全要素、全过程，能全面落实且工作富有成效（7</w:t>
            </w:r>
            <w:r>
              <w:rPr>
                <w:szCs w:val="21"/>
              </w:rPr>
              <w:t>-10</w:t>
            </w:r>
            <w:r>
              <w:rPr>
                <w:rFonts w:hint="eastAsia"/>
                <w:szCs w:val="21"/>
              </w:rPr>
              <w:t>分）</w:t>
            </w:r>
            <w:r>
              <w:rPr>
                <w:szCs w:val="21"/>
              </w:rPr>
              <w:t>；</w:t>
            </w:r>
            <w:r>
              <w:rPr>
                <w:rFonts w:hint="eastAsia"/>
                <w:szCs w:val="21"/>
              </w:rPr>
              <w:t>教研室有年度和学期工作计划，计划覆盖人才培养的全环节、全要素、全过程，大多是计划能得到落实，工作有成效（3</w:t>
            </w:r>
            <w:r>
              <w:rPr>
                <w:szCs w:val="21"/>
              </w:rPr>
              <w:t>-6</w:t>
            </w:r>
            <w:r>
              <w:rPr>
                <w:rFonts w:hint="eastAsia"/>
                <w:szCs w:val="21"/>
              </w:rPr>
              <w:t>分）</w:t>
            </w:r>
            <w:r>
              <w:rPr>
                <w:szCs w:val="21"/>
              </w:rPr>
              <w:t>；</w:t>
            </w:r>
            <w:r>
              <w:rPr>
                <w:rFonts w:hint="eastAsia"/>
                <w:szCs w:val="21"/>
              </w:rPr>
              <w:t>没有工作计划，满足于按部就班（0分）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学生评教</w:t>
            </w:r>
          </w:p>
          <w:p>
            <w:pPr>
              <w:jc w:val="center"/>
              <w:rPr>
                <w:rFonts w:ascii="楷体" w:hAnsi="楷体" w:eastAsia="楷体" w:cs="楷体"/>
                <w:b/>
                <w:sz w:val="24"/>
                <w:szCs w:val="24"/>
              </w:rPr>
            </w:pPr>
            <w:r>
              <w:rPr>
                <w:rFonts w:hint="eastAsia" w:ascii="楷体" w:hAnsi="楷体" w:eastAsia="楷体" w:cs="楷体"/>
                <w:b/>
                <w:sz w:val="24"/>
                <w:szCs w:val="24"/>
              </w:rPr>
              <w:t>（20分）</w:t>
            </w:r>
          </w:p>
        </w:tc>
        <w:tc>
          <w:tcPr>
            <w:tcW w:w="5500" w:type="dxa"/>
            <w:vAlign w:val="center"/>
          </w:tcPr>
          <w:p>
            <w:r>
              <w:rPr>
                <w:rFonts w:hint="eastAsia"/>
              </w:rPr>
              <w:t>本专业教师在上一学年的两个学期中所进行的学生评教中，排在全校前10%的教师人数情况（1</w:t>
            </w:r>
            <w:r>
              <w:t>0</w:t>
            </w:r>
            <w:r>
              <w:rPr>
                <w:rFonts w:hint="eastAsia"/>
              </w:rPr>
              <w:t>分）</w:t>
            </w:r>
          </w:p>
        </w:tc>
        <w:tc>
          <w:tcPr>
            <w:tcW w:w="5710" w:type="dxa"/>
          </w:tcPr>
          <w:p>
            <w:pPr>
              <w:rPr>
                <w:szCs w:val="21"/>
              </w:rPr>
            </w:pPr>
            <w:r>
              <w:rPr>
                <w:rFonts w:hint="eastAsia"/>
                <w:szCs w:val="21"/>
              </w:rPr>
              <w:t>每一人得2分，累计不超过1</w:t>
            </w:r>
            <w:r>
              <w:rPr>
                <w:szCs w:val="21"/>
              </w:rPr>
              <w:t>0</w:t>
            </w:r>
            <w:r>
              <w:rPr>
                <w:rFonts w:hint="eastAsia"/>
                <w:szCs w:val="21"/>
              </w:rPr>
              <w:t>分</w:t>
            </w:r>
            <w:r>
              <w:rPr>
                <w:szCs w:val="21"/>
              </w:rPr>
              <w:t>；</w:t>
            </w:r>
            <w:r>
              <w:rPr>
                <w:rFonts w:hint="eastAsia"/>
                <w:szCs w:val="21"/>
              </w:rPr>
              <w:t>没有的得0分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本专业教师在上一学年的两个学期中所进行的学生评教中，排在全校后10%的教师人数情况（-1</w:t>
            </w:r>
            <w:r>
              <w:t>0</w:t>
            </w:r>
            <w:r>
              <w:rPr>
                <w:rFonts w:hint="eastAsia"/>
              </w:rPr>
              <w:t>分）</w:t>
            </w:r>
          </w:p>
        </w:tc>
        <w:tc>
          <w:tcPr>
            <w:tcW w:w="5710" w:type="dxa"/>
          </w:tcPr>
          <w:p>
            <w:pPr>
              <w:rPr>
                <w:szCs w:val="21"/>
              </w:rPr>
            </w:pPr>
            <w:r>
              <w:rPr>
                <w:rFonts w:hint="eastAsia"/>
                <w:szCs w:val="21"/>
              </w:rPr>
              <w:t>每一人得-2分，累计不超过-1</w:t>
            </w:r>
            <w:r>
              <w:rPr>
                <w:szCs w:val="21"/>
              </w:rPr>
              <w:t>0</w:t>
            </w:r>
            <w:r>
              <w:rPr>
                <w:rFonts w:hint="eastAsia"/>
                <w:szCs w:val="21"/>
              </w:rPr>
              <w:t>分</w:t>
            </w:r>
            <w:r>
              <w:rPr>
                <w:szCs w:val="21"/>
              </w:rPr>
              <w:t>；</w:t>
            </w:r>
            <w:r>
              <w:rPr>
                <w:rFonts w:hint="eastAsia"/>
                <w:szCs w:val="21"/>
              </w:rPr>
              <w:t>没有的得10分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实习实训</w:t>
            </w:r>
          </w:p>
          <w:p>
            <w:pPr>
              <w:jc w:val="center"/>
              <w:rPr>
                <w:rFonts w:ascii="楷体" w:hAnsi="楷体" w:eastAsia="楷体" w:cs="楷体"/>
                <w:b/>
                <w:sz w:val="24"/>
                <w:szCs w:val="24"/>
              </w:rPr>
            </w:pPr>
            <w:r>
              <w:rPr>
                <w:rFonts w:hint="eastAsia" w:ascii="楷体" w:hAnsi="楷体" w:eastAsia="楷体" w:cs="楷体"/>
                <w:b/>
                <w:sz w:val="24"/>
                <w:szCs w:val="24"/>
              </w:rPr>
              <w:t>（40分）</w:t>
            </w:r>
          </w:p>
        </w:tc>
        <w:tc>
          <w:tcPr>
            <w:tcW w:w="5500" w:type="dxa"/>
            <w:vAlign w:val="center"/>
          </w:tcPr>
          <w:p>
            <w:r>
              <w:rPr>
                <w:rFonts w:hint="eastAsia"/>
              </w:rPr>
              <w:t>本专业校内</w:t>
            </w:r>
            <w:r>
              <w:t>、</w:t>
            </w:r>
            <w:r>
              <w:rPr>
                <w:rFonts w:hint="eastAsia"/>
              </w:rPr>
              <w:t>校外实习实训基地建设和使用情况（1</w:t>
            </w:r>
            <w:r>
              <w:t>0</w:t>
            </w:r>
            <w:r>
              <w:rPr>
                <w:rFonts w:hint="eastAsia"/>
              </w:rPr>
              <w:t>分）</w:t>
            </w:r>
          </w:p>
        </w:tc>
        <w:tc>
          <w:tcPr>
            <w:tcW w:w="5710" w:type="dxa"/>
          </w:tcPr>
          <w:p>
            <w:pPr>
              <w:rPr>
                <w:szCs w:val="21"/>
              </w:rPr>
            </w:pPr>
            <w:r>
              <w:rPr>
                <w:rFonts w:hint="eastAsia"/>
                <w:szCs w:val="21"/>
              </w:rPr>
              <w:t>资源充足，能为学生提供稳定的实习实训基地，并能保证学生得到良好指导（</w:t>
            </w:r>
            <w:r>
              <w:rPr>
                <w:szCs w:val="21"/>
              </w:rPr>
              <w:t>7-10</w:t>
            </w:r>
            <w:r>
              <w:rPr>
                <w:rFonts w:hint="eastAsia"/>
                <w:szCs w:val="21"/>
              </w:rPr>
              <w:t>分）</w:t>
            </w:r>
            <w:r>
              <w:rPr>
                <w:szCs w:val="21"/>
              </w:rPr>
              <w:t>；</w:t>
            </w:r>
            <w:r>
              <w:rPr>
                <w:rFonts w:hint="eastAsia"/>
                <w:szCs w:val="21"/>
              </w:rPr>
              <w:t>能为学生提供基本的实习实训条件，学生得到较好指导（4</w:t>
            </w:r>
            <w:r>
              <w:rPr>
                <w:szCs w:val="21"/>
              </w:rPr>
              <w:t>-6分）；</w:t>
            </w:r>
            <w:r>
              <w:rPr>
                <w:rFonts w:hint="eastAsia"/>
                <w:szCs w:val="21"/>
              </w:rPr>
              <w:t>能为全部学生提供充足的校外实习实训条件，但是学生校外实习实训得不到有效指导（0</w:t>
            </w:r>
            <w:r>
              <w:rPr>
                <w:szCs w:val="21"/>
              </w:rPr>
              <w:t>-3分）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本专业落实三年实习实践不间断的职教理念的情况（1</w:t>
            </w:r>
            <w:r>
              <w:t>0</w:t>
            </w:r>
            <w:r>
              <w:rPr>
                <w:rFonts w:hint="eastAsia"/>
              </w:rPr>
              <w:t>分）</w:t>
            </w:r>
            <w:r>
              <w:t xml:space="preserve"> </w:t>
            </w:r>
          </w:p>
        </w:tc>
        <w:tc>
          <w:tcPr>
            <w:tcW w:w="5710" w:type="dxa"/>
          </w:tcPr>
          <w:p>
            <w:pPr>
              <w:rPr>
                <w:szCs w:val="21"/>
              </w:rPr>
            </w:pPr>
            <w:r>
              <w:rPr>
                <w:rFonts w:hint="eastAsia"/>
                <w:szCs w:val="21"/>
              </w:rPr>
              <w:t>严格落实由浅到深、由基础技能到专业技能、由见习到跟岗实习再到顶岗实习、三年连续不间断逐步递进的实习实训理念（7</w:t>
            </w:r>
            <w:r>
              <w:rPr>
                <w:szCs w:val="21"/>
              </w:rPr>
              <w:t>-10</w:t>
            </w:r>
            <w:r>
              <w:rPr>
                <w:rFonts w:hint="eastAsia"/>
                <w:szCs w:val="21"/>
              </w:rPr>
              <w:t>分）</w:t>
            </w:r>
            <w:r>
              <w:rPr>
                <w:szCs w:val="21"/>
              </w:rPr>
              <w:t>；</w:t>
            </w:r>
            <w:r>
              <w:rPr>
                <w:rFonts w:hint="eastAsia"/>
                <w:szCs w:val="21"/>
              </w:rPr>
              <w:t>大体遵循上述理念，但不够严谨细致（4</w:t>
            </w:r>
            <w:r>
              <w:rPr>
                <w:szCs w:val="21"/>
              </w:rPr>
              <w:t>-6分）；</w:t>
            </w:r>
            <w:r>
              <w:rPr>
                <w:rFonts w:hint="eastAsia"/>
                <w:szCs w:val="21"/>
              </w:rPr>
              <w:t>缺乏精细化的设计和实施安排，简单粗放式管理（0</w:t>
            </w:r>
            <w:r>
              <w:rPr>
                <w:szCs w:val="21"/>
              </w:rPr>
              <w:t>-3</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本专业保证学生校外实训实习质量的具体办法（包括集中实习和学生分散实习）（1</w:t>
            </w:r>
            <w:r>
              <w:t>0</w:t>
            </w:r>
            <w:r>
              <w:rPr>
                <w:rFonts w:hint="eastAsia"/>
              </w:rPr>
              <w:t>分）</w:t>
            </w:r>
          </w:p>
        </w:tc>
        <w:tc>
          <w:tcPr>
            <w:tcW w:w="5710" w:type="dxa"/>
          </w:tcPr>
          <w:p>
            <w:pPr>
              <w:rPr>
                <w:szCs w:val="21"/>
              </w:rPr>
            </w:pPr>
            <w:r>
              <w:rPr>
                <w:rFonts w:hint="eastAsia"/>
              </w:rPr>
              <w:t>有较完善的管理制度确保每个学生实习实训不走过场（5</w:t>
            </w:r>
            <w:r>
              <w:t>-10</w:t>
            </w:r>
            <w:r>
              <w:rPr>
                <w:rFonts w:hint="eastAsia"/>
              </w:rPr>
              <w:t>分）</w:t>
            </w:r>
            <w:r>
              <w:t>；</w:t>
            </w:r>
            <w:r>
              <w:rPr>
                <w:rFonts w:hint="eastAsia"/>
              </w:rPr>
              <w:t>管理相对粗放，对校外实习过程疏于监管（0</w:t>
            </w:r>
            <w:r>
              <w:t>-4</w:t>
            </w:r>
            <w:r>
              <w:rPr>
                <w:rFonts w:hint="eastAsia"/>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校外实习实训指导教师队伍建设情况（5分）</w:t>
            </w:r>
          </w:p>
        </w:tc>
        <w:tc>
          <w:tcPr>
            <w:tcW w:w="5710" w:type="dxa"/>
          </w:tcPr>
          <w:p>
            <w:r>
              <w:rPr>
                <w:rFonts w:hint="eastAsia"/>
                <w:szCs w:val="21"/>
              </w:rPr>
              <w:t>有长期的较为稳定的校外实习指导教师队伍，有职责要求，有考核，有沟通，有动态调整（3</w:t>
            </w:r>
            <w:r>
              <w:rPr>
                <w:szCs w:val="21"/>
              </w:rPr>
              <w:t>-5</w:t>
            </w:r>
            <w:r>
              <w:rPr>
                <w:rFonts w:hint="eastAsia"/>
                <w:szCs w:val="21"/>
              </w:rPr>
              <w:t>分）</w:t>
            </w:r>
            <w:r>
              <w:rPr>
                <w:szCs w:val="21"/>
              </w:rPr>
              <w:t>；</w:t>
            </w:r>
            <w:r>
              <w:rPr>
                <w:rFonts w:hint="eastAsia"/>
                <w:szCs w:val="21"/>
              </w:rPr>
              <w:t>很少或无力过问校外实习指导教师队伍，任由实习单位安排和管理（0</w:t>
            </w:r>
            <w:r>
              <w:rPr>
                <w:szCs w:val="21"/>
              </w:rPr>
              <w:t>-2</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本专业加强和完善对毕业设计（毕业论文）的指导和质量管控的情况（5分）</w:t>
            </w:r>
          </w:p>
        </w:tc>
        <w:tc>
          <w:tcPr>
            <w:tcW w:w="5710" w:type="dxa"/>
          </w:tcPr>
          <w:p>
            <w:pPr>
              <w:rPr>
                <w:szCs w:val="21"/>
              </w:rPr>
            </w:pPr>
            <w:r>
              <w:rPr>
                <w:rFonts w:hint="eastAsia"/>
                <w:szCs w:val="21"/>
              </w:rPr>
              <w:t>有完善的质控办法，有效实施全过程指导（3</w:t>
            </w:r>
            <w:r>
              <w:rPr>
                <w:szCs w:val="21"/>
              </w:rPr>
              <w:t>-5</w:t>
            </w:r>
            <w:r>
              <w:rPr>
                <w:rFonts w:hint="eastAsia"/>
                <w:szCs w:val="21"/>
              </w:rPr>
              <w:t>分）</w:t>
            </w:r>
            <w:r>
              <w:rPr>
                <w:szCs w:val="21"/>
              </w:rPr>
              <w:t>；</w:t>
            </w:r>
            <w:r>
              <w:rPr>
                <w:rFonts w:hint="eastAsia"/>
                <w:szCs w:val="21"/>
              </w:rPr>
              <w:t>管理松散，不规范，指导不力（0</w:t>
            </w:r>
            <w:r>
              <w:rPr>
                <w:szCs w:val="21"/>
              </w:rPr>
              <w:t>-2</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班风学风建设及学生综合素质提升</w:t>
            </w:r>
          </w:p>
          <w:p>
            <w:pPr>
              <w:jc w:val="center"/>
              <w:rPr>
                <w:rFonts w:ascii="楷体" w:hAnsi="楷体" w:eastAsia="楷体" w:cs="楷体"/>
                <w:b/>
                <w:sz w:val="24"/>
                <w:szCs w:val="24"/>
              </w:rPr>
            </w:pPr>
            <w:r>
              <w:rPr>
                <w:rFonts w:hint="eastAsia" w:ascii="楷体" w:hAnsi="楷体" w:eastAsia="楷体" w:cs="楷体"/>
                <w:b/>
                <w:sz w:val="24"/>
                <w:szCs w:val="24"/>
              </w:rPr>
              <w:t>（30分）</w:t>
            </w:r>
          </w:p>
        </w:tc>
        <w:tc>
          <w:tcPr>
            <w:tcW w:w="5500" w:type="dxa"/>
            <w:vAlign w:val="center"/>
          </w:tcPr>
          <w:p>
            <w:r>
              <w:rPr>
                <w:rFonts w:hint="eastAsia"/>
              </w:rPr>
              <w:t>本专业班风学风建设开展情况（机制、措施、效果），</w:t>
            </w:r>
            <w:r>
              <w:t>包括</w:t>
            </w:r>
            <w:r>
              <w:rPr>
                <w:rFonts w:hint="eastAsia"/>
              </w:rPr>
              <w:t>班主任</w:t>
            </w:r>
            <w:r>
              <w:t>工作开展情况和学生社团、社会实践、志愿服务等内容</w:t>
            </w:r>
            <w:r>
              <w:rPr>
                <w:rFonts w:hint="eastAsia"/>
              </w:rPr>
              <w:t>（</w:t>
            </w:r>
            <w:r>
              <w:t>20</w:t>
            </w:r>
            <w:r>
              <w:rPr>
                <w:rFonts w:hint="eastAsia"/>
              </w:rPr>
              <w:t>分）</w:t>
            </w:r>
          </w:p>
        </w:tc>
        <w:tc>
          <w:tcPr>
            <w:tcW w:w="5710" w:type="dxa"/>
          </w:tcPr>
          <w:p>
            <w:pPr>
              <w:rPr>
                <w:szCs w:val="21"/>
              </w:rPr>
            </w:pPr>
            <w:r>
              <w:rPr>
                <w:rFonts w:hint="eastAsia"/>
                <w:szCs w:val="21"/>
              </w:rPr>
              <w:t>有</w:t>
            </w:r>
            <w:r>
              <w:rPr>
                <w:szCs w:val="21"/>
              </w:rPr>
              <w:t>完善的建设机制，</w:t>
            </w:r>
            <w:r>
              <w:rPr>
                <w:rFonts w:hint="eastAsia"/>
                <w:szCs w:val="21"/>
              </w:rPr>
              <w:t>措施</w:t>
            </w:r>
            <w:r>
              <w:rPr>
                <w:szCs w:val="21"/>
              </w:rPr>
              <w:t>得力，</w:t>
            </w:r>
            <w:r>
              <w:rPr>
                <w:rFonts w:hint="eastAsia"/>
                <w:szCs w:val="21"/>
              </w:rPr>
              <w:t>能</w:t>
            </w:r>
            <w:r>
              <w:rPr>
                <w:szCs w:val="21"/>
              </w:rPr>
              <w:t>定期开展活动，</w:t>
            </w:r>
            <w:r>
              <w:rPr>
                <w:rFonts w:hint="eastAsia"/>
                <w:szCs w:val="21"/>
                <w:shd w:val="clear" w:color="auto" w:fill="FFFFFF" w:themeFill="background1"/>
              </w:rPr>
              <w:t>班级凝聚力</w:t>
            </w:r>
            <w:r>
              <w:rPr>
                <w:szCs w:val="21"/>
                <w:shd w:val="clear" w:color="auto" w:fill="FFFFFF" w:themeFill="background1"/>
              </w:rPr>
              <w:t>强</w:t>
            </w:r>
            <w:r>
              <w:rPr>
                <w:rFonts w:hint="eastAsia"/>
                <w:szCs w:val="21"/>
              </w:rPr>
              <w:t>，</w:t>
            </w:r>
            <w:r>
              <w:rPr>
                <w:szCs w:val="21"/>
              </w:rPr>
              <w:t>无</w:t>
            </w:r>
            <w:r>
              <w:rPr>
                <w:rFonts w:hint="eastAsia"/>
                <w:szCs w:val="21"/>
              </w:rPr>
              <w:t>违规</w:t>
            </w:r>
            <w:r>
              <w:rPr>
                <w:szCs w:val="21"/>
              </w:rPr>
              <w:t>违纪</w:t>
            </w:r>
            <w:r>
              <w:rPr>
                <w:rFonts w:hint="eastAsia"/>
                <w:szCs w:val="21"/>
              </w:rPr>
              <w:t>，</w:t>
            </w:r>
            <w:r>
              <w:rPr>
                <w:szCs w:val="21"/>
              </w:rPr>
              <w:t>积极参加各类实习</w:t>
            </w:r>
            <w:r>
              <w:rPr>
                <w:rFonts w:hint="eastAsia"/>
                <w:szCs w:val="21"/>
              </w:rPr>
              <w:t>实训</w:t>
            </w:r>
            <w:r>
              <w:rPr>
                <w:szCs w:val="21"/>
              </w:rPr>
              <w:t>、</w:t>
            </w:r>
            <w:r>
              <w:rPr>
                <w:rFonts w:hint="eastAsia"/>
                <w:szCs w:val="21"/>
              </w:rPr>
              <w:t>技能</w:t>
            </w:r>
            <w:r>
              <w:rPr>
                <w:szCs w:val="21"/>
              </w:rPr>
              <w:t>竞赛、</w:t>
            </w:r>
            <w:r>
              <w:rPr>
                <w:rFonts w:hint="eastAsia"/>
                <w:szCs w:val="21"/>
              </w:rPr>
              <w:t>职业技能</w:t>
            </w:r>
            <w:r>
              <w:rPr>
                <w:szCs w:val="21"/>
              </w:rPr>
              <w:t>等级证书考取等学习活动</w:t>
            </w:r>
            <w:r>
              <w:rPr>
                <w:rFonts w:hint="eastAsia"/>
                <w:szCs w:val="21"/>
              </w:rPr>
              <w:t>，</w:t>
            </w:r>
            <w:r>
              <w:rPr>
                <w:szCs w:val="21"/>
              </w:rPr>
              <w:t>效果显著（</w:t>
            </w:r>
            <w:r>
              <w:rPr>
                <w:rFonts w:hint="eastAsia"/>
                <w:szCs w:val="21"/>
              </w:rPr>
              <w:t>18-20分</w:t>
            </w:r>
            <w:r>
              <w:rPr>
                <w:szCs w:val="21"/>
              </w:rPr>
              <w:t>）</w:t>
            </w:r>
            <w:r>
              <w:rPr>
                <w:rFonts w:hint="eastAsia"/>
                <w:szCs w:val="21"/>
              </w:rPr>
              <w:t>；效果良好</w:t>
            </w:r>
            <w:r>
              <w:rPr>
                <w:rFonts w:hint="eastAsia"/>
              </w:rPr>
              <w:t>（1</w:t>
            </w:r>
            <w:r>
              <w:t>5-18</w:t>
            </w:r>
            <w:r>
              <w:rPr>
                <w:rFonts w:hint="eastAsia"/>
              </w:rPr>
              <w:t>分）；效果一般（</w:t>
            </w:r>
            <w:r>
              <w:t>10-14</w:t>
            </w:r>
            <w:r>
              <w:rPr>
                <w:rFonts w:hint="eastAsia"/>
              </w:rPr>
              <w:t>分）；效果</w:t>
            </w:r>
            <w:r>
              <w:t>甚微（</w:t>
            </w:r>
            <w:r>
              <w:rPr>
                <w:rFonts w:hint="eastAsia"/>
              </w:rPr>
              <w:t>5-9分</w:t>
            </w:r>
            <w:r>
              <w:t>）</w:t>
            </w:r>
            <w:r>
              <w:rPr>
                <w:rFonts w:hint="eastAsia"/>
              </w:rPr>
              <w:t>；没有效果（0</w:t>
            </w:r>
            <w:r>
              <w:t>-4</w:t>
            </w:r>
            <w:r>
              <w:rPr>
                <w:rFonts w:hint="eastAsia"/>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本专业开展的提升学生综合素质的其他措施，包括</w:t>
            </w:r>
            <w:r>
              <w:t>但不限于</w:t>
            </w:r>
            <w:r>
              <w:rPr>
                <w:rFonts w:hint="eastAsia"/>
              </w:rPr>
              <w:t>对学生学业、生活、心理问题的帮扶等情况（</w:t>
            </w:r>
            <w:r>
              <w:t>10</w:t>
            </w:r>
            <w:r>
              <w:rPr>
                <w:rFonts w:hint="eastAsia"/>
              </w:rPr>
              <w:t>分）</w:t>
            </w:r>
          </w:p>
        </w:tc>
        <w:tc>
          <w:tcPr>
            <w:tcW w:w="5710" w:type="dxa"/>
          </w:tcPr>
          <w:p>
            <w:pPr>
              <w:rPr>
                <w:szCs w:val="21"/>
              </w:rPr>
            </w:pPr>
            <w:r>
              <w:rPr>
                <w:rFonts w:hint="eastAsia"/>
                <w:szCs w:val="21"/>
              </w:rPr>
              <w:t>有</w:t>
            </w:r>
            <w:r>
              <w:rPr>
                <w:szCs w:val="21"/>
              </w:rPr>
              <w:t>具体</w:t>
            </w:r>
            <w:r>
              <w:rPr>
                <w:rFonts w:hint="eastAsia"/>
                <w:szCs w:val="21"/>
              </w:rPr>
              <w:t>制度、</w:t>
            </w:r>
            <w:r>
              <w:rPr>
                <w:szCs w:val="21"/>
              </w:rPr>
              <w:t>措施和工作记录</w:t>
            </w:r>
            <w:r>
              <w:rPr>
                <w:rFonts w:hint="eastAsia"/>
                <w:szCs w:val="21"/>
              </w:rPr>
              <w:t>（8</w:t>
            </w:r>
            <w:r>
              <w:t>-10</w:t>
            </w:r>
            <w:r>
              <w:rPr>
                <w:rFonts w:hint="eastAsia"/>
              </w:rPr>
              <w:t>分）；有</w:t>
            </w:r>
            <w:r>
              <w:t>工作记录</w:t>
            </w:r>
            <w:r>
              <w:rPr>
                <w:rFonts w:hint="eastAsia"/>
              </w:rPr>
              <w:t>无</w:t>
            </w:r>
            <w:r>
              <w:t>具体</w:t>
            </w:r>
            <w:r>
              <w:rPr>
                <w:rFonts w:hint="eastAsia"/>
              </w:rPr>
              <w:t>制度</w:t>
            </w:r>
            <w:r>
              <w:t>措施</w:t>
            </w:r>
            <w:r>
              <w:rPr>
                <w:rFonts w:hint="eastAsia"/>
              </w:rPr>
              <w:t>（</w:t>
            </w:r>
            <w:r>
              <w:t>6-7</w:t>
            </w:r>
            <w:r>
              <w:rPr>
                <w:rFonts w:hint="eastAsia"/>
              </w:rPr>
              <w:t>分）；有</w:t>
            </w:r>
            <w:r>
              <w:t>具体制度、措施，无工作记录（</w:t>
            </w:r>
            <w:r>
              <w:rPr>
                <w:rFonts w:hint="eastAsia"/>
              </w:rPr>
              <w:t>4-5</w:t>
            </w:r>
            <w:r>
              <w:t>）</w:t>
            </w:r>
            <w:r>
              <w:rPr>
                <w:rFonts w:hint="eastAsia"/>
              </w:rPr>
              <w:t>没有开展过（0</w:t>
            </w:r>
            <w:r>
              <w:t>-4</w:t>
            </w:r>
            <w:r>
              <w:rPr>
                <w:rFonts w:hint="eastAsia"/>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696" w:type="dxa"/>
            <w:vMerge w:val="restart"/>
            <w:vAlign w:val="center"/>
          </w:tcPr>
          <w:p>
            <w:pPr>
              <w:jc w:val="center"/>
              <w:rPr>
                <w:rFonts w:ascii="楷体" w:hAnsi="楷体" w:eastAsia="楷体" w:cs="楷体"/>
                <w:b/>
                <w:sz w:val="24"/>
                <w:szCs w:val="24"/>
              </w:rPr>
            </w:pPr>
            <w:r>
              <w:rPr>
                <w:rFonts w:hint="eastAsia" w:ascii="楷体" w:hAnsi="楷体" w:eastAsia="楷体" w:cs="楷体"/>
                <w:b/>
                <w:sz w:val="24"/>
                <w:szCs w:val="24"/>
              </w:rPr>
              <w:t>社会服务</w:t>
            </w:r>
          </w:p>
          <w:p>
            <w:pPr>
              <w:jc w:val="center"/>
              <w:rPr>
                <w:rFonts w:ascii="楷体" w:hAnsi="楷体" w:eastAsia="楷体" w:cs="楷体"/>
                <w:b/>
                <w:sz w:val="24"/>
                <w:szCs w:val="24"/>
              </w:rPr>
            </w:pPr>
            <w:r>
              <w:rPr>
                <w:rFonts w:hint="eastAsia" w:ascii="楷体" w:hAnsi="楷体" w:eastAsia="楷体" w:cs="楷体"/>
                <w:b/>
                <w:sz w:val="24"/>
                <w:szCs w:val="24"/>
              </w:rPr>
              <w:t>（</w:t>
            </w:r>
            <w:r>
              <w:rPr>
                <w:rFonts w:ascii="楷体" w:hAnsi="楷体" w:eastAsia="楷体" w:cs="楷体"/>
                <w:b/>
                <w:sz w:val="24"/>
                <w:szCs w:val="24"/>
              </w:rPr>
              <w:t>90</w:t>
            </w:r>
            <w:r>
              <w:rPr>
                <w:rFonts w:hint="eastAsia" w:ascii="楷体" w:hAnsi="楷体" w:eastAsia="楷体" w:cs="楷体"/>
                <w:b/>
                <w:sz w:val="24"/>
                <w:szCs w:val="24"/>
              </w:rPr>
              <w:t>分）</w:t>
            </w:r>
          </w:p>
        </w:tc>
        <w:tc>
          <w:tcPr>
            <w:tcW w:w="5500" w:type="dxa"/>
            <w:vAlign w:val="center"/>
          </w:tcPr>
          <w:p>
            <w:r>
              <w:rPr>
                <w:rFonts w:hint="eastAsia"/>
              </w:rPr>
              <w:t>本专业结合自身专业特色和优势，依托政府、行业、企业进行课程资源整合，积极开发面向重点人群的技术技能培训情况（包括培训人次，总收入）（20分）</w:t>
            </w:r>
          </w:p>
        </w:tc>
        <w:tc>
          <w:tcPr>
            <w:tcW w:w="5710" w:type="dxa"/>
          </w:tcPr>
          <w:p>
            <w:r>
              <w:rPr>
                <w:rFonts w:hint="eastAsia"/>
              </w:rPr>
              <w:t>开发</w:t>
            </w:r>
            <w:r>
              <w:t>培训资源包，</w:t>
            </w:r>
            <w:r>
              <w:rPr>
                <w:rFonts w:hint="eastAsia"/>
              </w:rPr>
              <w:t>1个</w:t>
            </w:r>
            <w:r>
              <w:t>得</w:t>
            </w:r>
            <w:r>
              <w:rPr>
                <w:rFonts w:hint="eastAsia"/>
              </w:rPr>
              <w:t>3分（</w:t>
            </w:r>
            <w:r>
              <w:t>累计</w:t>
            </w:r>
            <w:r>
              <w:rPr>
                <w:rFonts w:hint="eastAsia"/>
              </w:rPr>
              <w:t>不超过15分）</w:t>
            </w:r>
          </w:p>
          <w:p>
            <w:pPr>
              <w:rPr>
                <w:szCs w:val="21"/>
              </w:rPr>
            </w:pPr>
            <w:r>
              <w:rPr>
                <w:rFonts w:hint="eastAsia"/>
              </w:rPr>
              <w:t>积极开展职业培训并且效果好，得</w:t>
            </w:r>
            <w:r>
              <w:t>5分；开展职业培训效果一般，得3分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本专业结合自身专业特色和优势进行知识产权</w:t>
            </w:r>
            <w:r>
              <w:t>转化</w:t>
            </w:r>
            <w:r>
              <w:rPr>
                <w:rFonts w:hint="eastAsia"/>
              </w:rPr>
              <w:t>的</w:t>
            </w:r>
            <w:r>
              <w:t>情况</w:t>
            </w:r>
            <w:r>
              <w:rPr>
                <w:rFonts w:hint="eastAsia"/>
              </w:rPr>
              <w:t>（20分）</w:t>
            </w:r>
          </w:p>
        </w:tc>
        <w:tc>
          <w:tcPr>
            <w:tcW w:w="5710" w:type="dxa"/>
          </w:tcPr>
          <w:p>
            <w:r>
              <w:rPr>
                <w:rFonts w:hint="eastAsia"/>
              </w:rPr>
              <w:t>参与企业各类技术咨询和服务项目并取得成果，成果被企业采纳应用，取得社会效益和经济效益，每次得5</w:t>
            </w:r>
            <w:r>
              <w:t>分；</w:t>
            </w:r>
          </w:p>
          <w:p>
            <w:r>
              <w:rPr>
                <w:rFonts w:hint="eastAsia"/>
              </w:rPr>
              <w:t>参与政府各类政策咨询项目并取得成果，成果被政府机构采纳，取得社会效益和经济效益，每次得5</w:t>
            </w:r>
            <w:r>
              <w:t>分；</w:t>
            </w:r>
          </w:p>
          <w:p>
            <w:r>
              <w:rPr>
                <w:rFonts w:hint="eastAsia"/>
              </w:rPr>
              <w:t>参与行业协会、城市社区、乡村等社会服务项目并取得成果，成果被服务对象采纳应用，取得社会效益和经济效益，每次得5</w:t>
            </w:r>
            <w:r>
              <w:t>分（</w:t>
            </w:r>
            <w:r>
              <w:rPr>
                <w:rFonts w:hint="eastAsia"/>
              </w:rPr>
              <w:t>累计最高</w:t>
            </w:r>
            <w:r>
              <w:t xml:space="preserve"> </w:t>
            </w:r>
            <w:r>
              <w:rPr>
                <w:rFonts w:hint="eastAsia"/>
              </w:rPr>
              <w:t>20</w:t>
            </w:r>
            <w: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本专业承担的对口援助任务情况（5分）</w:t>
            </w:r>
          </w:p>
        </w:tc>
        <w:tc>
          <w:tcPr>
            <w:tcW w:w="5710" w:type="dxa"/>
          </w:tcPr>
          <w:p>
            <w:pPr>
              <w:rPr>
                <w:szCs w:val="21"/>
              </w:rPr>
            </w:pPr>
            <w:r>
              <w:rPr>
                <w:rFonts w:hint="eastAsia"/>
                <w:szCs w:val="21"/>
              </w:rPr>
              <w:t xml:space="preserve">有 </w:t>
            </w:r>
            <w:r>
              <w:rPr>
                <w:szCs w:val="21"/>
              </w:rPr>
              <w:t>5</w:t>
            </w:r>
            <w:r>
              <w:rPr>
                <w:rFonts w:hint="eastAsia"/>
                <w:szCs w:val="21"/>
              </w:rPr>
              <w:t>分</w:t>
            </w:r>
            <w:r>
              <w:rPr>
                <w:szCs w:val="21"/>
              </w:rPr>
              <w:t>；</w:t>
            </w:r>
            <w:r>
              <w:rPr>
                <w:rFonts w:hint="eastAsia"/>
                <w:szCs w:val="21"/>
              </w:rPr>
              <w:t xml:space="preserve">没有 </w:t>
            </w:r>
            <w:r>
              <w:rPr>
                <w:szCs w:val="21"/>
              </w:rPr>
              <w:t>0</w:t>
            </w:r>
            <w:r>
              <w:rPr>
                <w:rFonts w:hint="eastAsia"/>
                <w:szCs w:val="21"/>
              </w:rP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96" w:type="dxa"/>
            <w:vMerge w:val="continue"/>
            <w:vAlign w:val="center"/>
          </w:tcPr>
          <w:p>
            <w:pPr>
              <w:jc w:val="center"/>
              <w:rPr>
                <w:rFonts w:ascii="楷体" w:hAnsi="楷体" w:eastAsia="楷体" w:cs="楷体"/>
                <w:sz w:val="24"/>
                <w:szCs w:val="24"/>
              </w:rPr>
            </w:pPr>
          </w:p>
        </w:tc>
        <w:tc>
          <w:tcPr>
            <w:tcW w:w="5500" w:type="dxa"/>
            <w:vAlign w:val="center"/>
          </w:tcPr>
          <w:p>
            <w:r>
              <w:rPr>
                <w:rFonts w:hint="eastAsia"/>
              </w:rPr>
              <w:t>本专业承担政府重大培训项目（3</w:t>
            </w:r>
            <w:r>
              <w:t>0</w:t>
            </w:r>
            <w:r>
              <w:rPr>
                <w:rFonts w:hint="eastAsia"/>
              </w:rPr>
              <w:t>分）</w:t>
            </w:r>
          </w:p>
        </w:tc>
        <w:tc>
          <w:tcPr>
            <w:tcW w:w="5710" w:type="dxa"/>
          </w:tcPr>
          <w:p>
            <w:r>
              <w:rPr>
                <w:rFonts w:hint="eastAsia"/>
              </w:rPr>
              <w:t>承担</w:t>
            </w:r>
            <w:r>
              <w:t>国家级项目每个得</w:t>
            </w:r>
            <w:r>
              <w:rPr>
                <w:rFonts w:hint="eastAsia"/>
              </w:rPr>
              <w:t>10</w:t>
            </w:r>
            <w:r>
              <w:t>分</w:t>
            </w:r>
            <w:r>
              <w:rPr>
                <w:rFonts w:hint="eastAsia"/>
              </w:rPr>
              <w:t>；承担</w:t>
            </w:r>
            <w:r>
              <w:t>省部级项目每个得</w:t>
            </w:r>
            <w:r>
              <w:rPr>
                <w:rFonts w:hint="eastAsia"/>
              </w:rPr>
              <w:t>5</w:t>
            </w:r>
            <w:r>
              <w:t>分</w:t>
            </w:r>
          </w:p>
          <w:p>
            <w:pPr>
              <w:rPr>
                <w:szCs w:val="21"/>
              </w:rPr>
            </w:pPr>
            <w:r>
              <w:t>（累计最高</w:t>
            </w:r>
            <w:r>
              <w:rPr>
                <w:rFonts w:hint="eastAsia"/>
              </w:rPr>
              <w:t>30</w:t>
            </w:r>
            <w:r>
              <w:t>分）</w:t>
            </w: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96" w:type="dxa"/>
            <w:vMerge w:val="continue"/>
            <w:tcBorders>
              <w:bottom w:val="single" w:color="auto" w:sz="4" w:space="0"/>
            </w:tcBorders>
            <w:vAlign w:val="center"/>
          </w:tcPr>
          <w:p>
            <w:pPr>
              <w:jc w:val="center"/>
              <w:rPr>
                <w:rFonts w:ascii="楷体" w:hAnsi="楷体" w:eastAsia="楷体" w:cs="楷体"/>
                <w:sz w:val="24"/>
                <w:szCs w:val="24"/>
              </w:rPr>
            </w:pPr>
          </w:p>
        </w:tc>
        <w:tc>
          <w:tcPr>
            <w:tcW w:w="5500" w:type="dxa"/>
            <w:tcBorders>
              <w:bottom w:val="single" w:color="auto" w:sz="4" w:space="0"/>
            </w:tcBorders>
            <w:vAlign w:val="center"/>
          </w:tcPr>
          <w:p>
            <w:r>
              <w:rPr>
                <w:rFonts w:hint="eastAsia"/>
              </w:rPr>
              <w:t>本专业社会培训规模（</w:t>
            </w:r>
            <w:r>
              <w:t>15</w:t>
            </w:r>
            <w:r>
              <w:rPr>
                <w:rFonts w:hint="eastAsia"/>
              </w:rPr>
              <w:t>分）</w:t>
            </w:r>
          </w:p>
        </w:tc>
        <w:tc>
          <w:tcPr>
            <w:tcW w:w="5710" w:type="dxa"/>
          </w:tcPr>
          <w:p>
            <w:pPr>
              <w:rPr>
                <w:szCs w:val="21"/>
              </w:rPr>
            </w:pPr>
            <w:r>
              <w:t>年培训人数达在</w:t>
            </w:r>
            <w:r>
              <w:rPr>
                <w:rFonts w:hint="eastAsia"/>
              </w:rPr>
              <w:t>本专业</w:t>
            </w:r>
            <w:r>
              <w:t>校生数的</w:t>
            </w:r>
            <w:r>
              <w:rPr>
                <w:rFonts w:hint="eastAsia"/>
              </w:rPr>
              <w:t>2</w:t>
            </w:r>
            <w:r>
              <w:t>倍，得15分</w:t>
            </w:r>
            <w:r>
              <w:rPr>
                <w:rFonts w:hint="eastAsia"/>
              </w:rPr>
              <w:t>；</w:t>
            </w:r>
            <w:r>
              <w:t>年培训人数达在校生数的1.5倍，得10分</w:t>
            </w:r>
            <w:r>
              <w:rPr>
                <w:rFonts w:hint="eastAsia"/>
              </w:rPr>
              <w:t>；</w:t>
            </w:r>
            <w:r>
              <w:t>年培训人数达在校生的1倍，得5分</w:t>
            </w:r>
            <w:r>
              <w:rPr>
                <w:rFonts w:hint="eastAsia"/>
              </w:rPr>
              <w:t>；</w:t>
            </w:r>
            <w:r>
              <w:t>年培训人数</w:t>
            </w:r>
            <w:r>
              <w:rPr>
                <w:rFonts w:hint="eastAsia"/>
              </w:rPr>
              <w:t>达</w:t>
            </w:r>
            <w:r>
              <w:t>在校生数的</w:t>
            </w:r>
            <w:r>
              <w:rPr>
                <w:rFonts w:hint="eastAsia"/>
              </w:rPr>
              <w:t>1/2的</w:t>
            </w:r>
            <w:r>
              <w:t>2</w:t>
            </w:r>
            <w:r>
              <w:rPr>
                <w:rFonts w:hint="eastAsia"/>
              </w:rPr>
              <w:t>分；</w:t>
            </w:r>
            <w:r>
              <w:t>年培训人数</w:t>
            </w:r>
            <w:r>
              <w:rPr>
                <w:rFonts w:hint="eastAsia"/>
              </w:rPr>
              <w:t>低于</w:t>
            </w:r>
            <w:r>
              <w:t>在校生数的</w:t>
            </w:r>
            <w:r>
              <w:rPr>
                <w:rFonts w:hint="eastAsia"/>
              </w:rPr>
              <w:t>1/2的</w:t>
            </w:r>
            <w:r>
              <w:t>0</w:t>
            </w:r>
            <w:r>
              <w:rPr>
                <w:rFonts w:hint="eastAsia"/>
              </w:rPr>
              <w:t>分</w:t>
            </w:r>
          </w:p>
        </w:tc>
        <w:tc>
          <w:tcPr>
            <w:tcW w:w="1253" w:type="dxa"/>
            <w:tcBorders>
              <w:bottom w:val="single" w:color="auto" w:sz="4" w:space="0"/>
            </w:tcBorders>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696" w:type="dxa"/>
            <w:vAlign w:val="center"/>
          </w:tcPr>
          <w:p>
            <w:pPr>
              <w:jc w:val="center"/>
              <w:rPr>
                <w:rFonts w:ascii="楷体" w:hAnsi="楷体" w:eastAsia="楷体" w:cs="楷体"/>
                <w:b/>
                <w:sz w:val="24"/>
                <w:szCs w:val="24"/>
              </w:rPr>
            </w:pPr>
            <w:r>
              <w:rPr>
                <w:rFonts w:hint="eastAsia" w:ascii="楷体" w:hAnsi="楷体" w:eastAsia="楷体" w:cs="楷体"/>
                <w:b/>
                <w:sz w:val="24"/>
                <w:szCs w:val="24"/>
              </w:rPr>
              <w:t>特色发展</w:t>
            </w:r>
          </w:p>
          <w:p>
            <w:pPr>
              <w:jc w:val="center"/>
              <w:rPr>
                <w:rFonts w:ascii="楷体" w:hAnsi="楷体" w:eastAsia="楷体" w:cs="楷体"/>
                <w:b/>
                <w:sz w:val="24"/>
                <w:szCs w:val="24"/>
              </w:rPr>
            </w:pPr>
            <w:r>
              <w:rPr>
                <w:rFonts w:hint="eastAsia" w:ascii="楷体" w:hAnsi="楷体" w:eastAsia="楷体" w:cs="楷体"/>
                <w:b/>
                <w:sz w:val="24"/>
                <w:szCs w:val="24"/>
              </w:rPr>
              <w:t>（70分）</w:t>
            </w:r>
          </w:p>
        </w:tc>
        <w:tc>
          <w:tcPr>
            <w:tcW w:w="5500" w:type="dxa"/>
            <w:vAlign w:val="center"/>
          </w:tcPr>
          <w:p>
            <w:r>
              <w:rPr>
                <w:rFonts w:hint="eastAsia"/>
              </w:rPr>
              <w:t>本专业办学独特的经验措施，积淀的专业特色或典型案例</w:t>
            </w:r>
          </w:p>
        </w:tc>
        <w:tc>
          <w:tcPr>
            <w:tcW w:w="5710" w:type="dxa"/>
          </w:tcPr>
          <w:p>
            <w:pPr>
              <w:rPr>
                <w:szCs w:val="21"/>
              </w:rPr>
            </w:pPr>
          </w:p>
        </w:tc>
        <w:tc>
          <w:tcPr>
            <w:tcW w:w="1253"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0" w:hRule="atLeast"/>
          <w:jc w:val="center"/>
        </w:trPr>
        <w:tc>
          <w:tcPr>
            <w:tcW w:w="1696" w:type="dxa"/>
          </w:tcPr>
          <w:p>
            <w:pPr>
              <w:jc w:val="center"/>
              <w:rPr>
                <w:rFonts w:ascii="楷体" w:hAnsi="楷体" w:eastAsia="楷体" w:cs="楷体"/>
                <w:b/>
                <w:sz w:val="24"/>
                <w:szCs w:val="24"/>
              </w:rPr>
            </w:pPr>
            <w:r>
              <w:rPr>
                <w:rFonts w:hint="eastAsia" w:ascii="楷体" w:hAnsi="楷体" w:eastAsia="楷体" w:cs="楷体"/>
                <w:b/>
                <w:sz w:val="24"/>
                <w:szCs w:val="24"/>
              </w:rPr>
              <w:t>问题，改进思路及建议</w:t>
            </w:r>
          </w:p>
          <w:p>
            <w:pPr>
              <w:jc w:val="center"/>
              <w:rPr>
                <w:rFonts w:ascii="楷体" w:hAnsi="楷体" w:eastAsia="楷体" w:cs="楷体"/>
                <w:b/>
                <w:sz w:val="24"/>
                <w:szCs w:val="24"/>
              </w:rPr>
            </w:pPr>
            <w:r>
              <w:rPr>
                <w:rFonts w:hint="eastAsia" w:ascii="楷体" w:hAnsi="楷体" w:eastAsia="楷体" w:cs="楷体"/>
                <w:b/>
                <w:sz w:val="24"/>
                <w:szCs w:val="24"/>
              </w:rPr>
              <w:t>（50分）</w:t>
            </w:r>
          </w:p>
        </w:tc>
        <w:tc>
          <w:tcPr>
            <w:tcW w:w="5500" w:type="dxa"/>
          </w:tcPr>
          <w:p/>
        </w:tc>
        <w:tc>
          <w:tcPr>
            <w:tcW w:w="5710" w:type="dxa"/>
          </w:tcPr>
          <w:p>
            <w:pPr>
              <w:rPr>
                <w:szCs w:val="21"/>
              </w:rPr>
            </w:pPr>
          </w:p>
        </w:tc>
        <w:tc>
          <w:tcPr>
            <w:tcW w:w="1253" w:type="dxa"/>
          </w:tcPr>
          <w:p>
            <w:pPr>
              <w:rPr>
                <w:szCs w:val="21"/>
              </w:rPr>
            </w:pPr>
          </w:p>
        </w:tc>
      </w:tr>
    </w:tbl>
    <w:p>
      <w:pPr>
        <w:widowControl/>
        <w:spacing w:line="276" w:lineRule="auto"/>
        <w:jc w:val="left"/>
        <w:rPr>
          <w:rFonts w:ascii="宋体" w:hAnsi="宋体" w:eastAsia="宋体" w:cs="宋体"/>
          <w:b/>
          <w:bCs/>
          <w:kern w:val="0"/>
          <w:sz w:val="24"/>
          <w:szCs w:val="24"/>
        </w:rPr>
      </w:pPr>
      <w:r>
        <w:rPr>
          <w:rFonts w:hint="eastAsia" w:ascii="宋体" w:hAnsi="宋体" w:eastAsia="宋体" w:cs="宋体"/>
          <w:b/>
          <w:bCs/>
          <w:kern w:val="0"/>
          <w:sz w:val="24"/>
          <w:szCs w:val="24"/>
        </w:rPr>
        <w:t>说明：</w:t>
      </w:r>
    </w:p>
    <w:p>
      <w:pPr>
        <w:pStyle w:val="13"/>
        <w:widowControl/>
        <w:numPr>
          <w:ilvl w:val="0"/>
          <w:numId w:val="1"/>
        </w:numPr>
        <w:spacing w:line="276" w:lineRule="auto"/>
        <w:ind w:firstLineChars="0"/>
        <w:jc w:val="left"/>
        <w:rPr>
          <w:rFonts w:ascii="宋体" w:hAnsi="宋体" w:eastAsia="宋体" w:cs="宋体"/>
          <w:kern w:val="0"/>
          <w:sz w:val="24"/>
          <w:szCs w:val="24"/>
        </w:rPr>
      </w:pPr>
      <w:r>
        <w:rPr>
          <w:rFonts w:hint="eastAsia"/>
          <w:b/>
          <w:color w:val="000000" w:themeColor="text1"/>
          <w:sz w:val="24"/>
          <w14:textFill>
            <w14:solidFill>
              <w14:schemeClr w14:val="tx1"/>
            </w14:solidFill>
          </w14:textFill>
        </w:rPr>
        <w:t>关于</w:t>
      </w:r>
      <w:r>
        <w:rPr>
          <w:b/>
          <w:color w:val="000000" w:themeColor="text1"/>
          <w:sz w:val="24"/>
          <w14:textFill>
            <w14:solidFill>
              <w14:schemeClr w14:val="tx1"/>
            </w14:solidFill>
          </w14:textFill>
        </w:rPr>
        <w:t>竞赛分级的标准，参考</w:t>
      </w:r>
      <w:r>
        <w:rPr>
          <w:rFonts w:hint="eastAsia"/>
          <w:b/>
          <w:color w:val="000000" w:themeColor="text1"/>
          <w:sz w:val="24"/>
          <w14:textFill>
            <w14:solidFill>
              <w14:schemeClr w14:val="tx1"/>
            </w14:solidFill>
          </w14:textFill>
        </w:rPr>
        <w:t>院发〔2021〕21号《北京</w:t>
      </w:r>
      <w:r>
        <w:rPr>
          <w:b/>
          <w:color w:val="000000" w:themeColor="text1"/>
          <w:sz w:val="24"/>
          <w14:textFill>
            <w14:solidFill>
              <w14:schemeClr w14:val="tx1"/>
            </w14:solidFill>
          </w14:textFill>
        </w:rPr>
        <w:t>青年政治学院</w:t>
      </w:r>
      <w:r>
        <w:rPr>
          <w:rFonts w:hint="eastAsia"/>
          <w:b/>
          <w:color w:val="000000" w:themeColor="text1"/>
          <w:sz w:val="24"/>
          <w14:textFill>
            <w14:solidFill>
              <w14:schemeClr w14:val="tx1"/>
            </w14:solidFill>
          </w14:textFill>
        </w:rPr>
        <w:t>学生</w:t>
      </w:r>
      <w:r>
        <w:rPr>
          <w:b/>
          <w:color w:val="000000" w:themeColor="text1"/>
          <w:sz w:val="24"/>
          <w14:textFill>
            <w14:solidFill>
              <w14:schemeClr w14:val="tx1"/>
            </w14:solidFill>
          </w14:textFill>
        </w:rPr>
        <w:t>职业</w:t>
      </w:r>
      <w:r>
        <w:rPr>
          <w:rFonts w:hint="eastAsia"/>
          <w:b/>
          <w:color w:val="000000" w:themeColor="text1"/>
          <w:sz w:val="24"/>
          <w14:textFill>
            <w14:solidFill>
              <w14:schemeClr w14:val="tx1"/>
            </w14:solidFill>
          </w14:textFill>
        </w:rPr>
        <w:t>技能</w:t>
      </w:r>
      <w:r>
        <w:rPr>
          <w:b/>
          <w:color w:val="000000" w:themeColor="text1"/>
          <w:sz w:val="24"/>
          <w14:textFill>
            <w14:solidFill>
              <w14:schemeClr w14:val="tx1"/>
            </w14:solidFill>
          </w14:textFill>
        </w:rPr>
        <w:t>竞赛管理办法</w:t>
      </w:r>
      <w:r>
        <w:rPr>
          <w:rFonts w:hint="eastAsia"/>
          <w:b/>
          <w:color w:val="000000" w:themeColor="text1"/>
          <w:sz w:val="24"/>
          <w14:textFill>
            <w14:solidFill>
              <w14:schemeClr w14:val="tx1"/>
            </w14:solidFill>
          </w14:textFill>
        </w:rPr>
        <w:t>》。</w:t>
      </w:r>
    </w:p>
    <w:p>
      <w:pPr>
        <w:pStyle w:val="13"/>
        <w:widowControl/>
        <w:numPr>
          <w:ilvl w:val="0"/>
          <w:numId w:val="1"/>
        </w:numPr>
        <w:spacing w:line="276" w:lineRule="auto"/>
        <w:ind w:firstLineChars="0"/>
        <w:jc w:val="left"/>
        <w:rPr>
          <w:rFonts w:ascii="宋体" w:hAnsi="宋体" w:eastAsia="宋体" w:cs="宋体"/>
          <w:kern w:val="0"/>
          <w:sz w:val="24"/>
          <w:szCs w:val="24"/>
        </w:rPr>
      </w:pPr>
      <w:r>
        <w:rPr>
          <w:rFonts w:hint="eastAsia"/>
          <w:b/>
          <w:color w:val="000000" w:themeColor="text1"/>
          <w:sz w:val="24"/>
          <w14:textFill>
            <w14:solidFill>
              <w14:schemeClr w14:val="tx1"/>
            </w14:solidFill>
          </w14:textFill>
        </w:rPr>
        <w:t>如指标中没有特别标注，本次专业评估的相关成果、支撑材料的起止时间为2019年1月1日~2023年12月31日</w:t>
      </w:r>
      <w:r>
        <w:rPr>
          <w:rFonts w:hint="eastAsia"/>
          <w:b/>
          <w:color w:val="000000" w:themeColor="text1"/>
          <w:sz w:val="24"/>
          <w:lang w:eastAsia="zh-CN"/>
          <w14:textFill>
            <w14:solidFill>
              <w14:schemeClr w14:val="tx1"/>
            </w14:solidFill>
          </w14:textFill>
        </w:rPr>
        <w:t>。</w:t>
      </w:r>
    </w:p>
    <w:p>
      <w:pPr>
        <w:pStyle w:val="13"/>
        <w:widowControl/>
        <w:numPr>
          <w:ilvl w:val="0"/>
          <w:numId w:val="1"/>
        </w:numPr>
        <w:spacing w:line="276" w:lineRule="auto"/>
        <w:ind w:firstLineChars="0"/>
        <w:jc w:val="left"/>
        <w:rPr>
          <w:rFonts w:hint="eastAsia"/>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课程矩阵具体要求参见以下内容。</w:t>
      </w:r>
    </w:p>
    <w:p>
      <w:pPr>
        <w:ind w:firstLine="560" w:firstLineChars="200"/>
        <w:jc w:val="left"/>
        <w:rPr>
          <w:sz w:val="28"/>
          <w:szCs w:val="28"/>
        </w:rPr>
      </w:pPr>
      <w:r>
        <w:rPr>
          <w:sz w:val="28"/>
          <w:szCs w:val="28"/>
        </w:rPr>
        <w:br w:type="page"/>
      </w:r>
    </w:p>
    <w:p>
      <w:pPr>
        <w:jc w:val="center"/>
        <w:rPr>
          <w:rFonts w:hint="eastAsia" w:ascii="黑体" w:hAnsi="黑体" w:eastAsia="黑体" w:cs="黑体"/>
          <w:kern w:val="0"/>
          <w:sz w:val="32"/>
          <w:szCs w:val="32"/>
          <w:vertAlign w:val="baseline"/>
          <w:lang w:val="en-US" w:eastAsia="zh-CN"/>
        </w:rPr>
      </w:pPr>
      <w:r>
        <w:rPr>
          <w:rFonts w:hint="eastAsia" w:ascii="黑体" w:hAnsi="黑体" w:eastAsia="黑体" w:cs="黑体"/>
          <w:kern w:val="0"/>
          <w:sz w:val="36"/>
          <w:szCs w:val="36"/>
          <w:vertAlign w:val="baseline"/>
          <w:lang w:val="en-US" w:eastAsia="zh-CN"/>
        </w:rPr>
        <w:t>课程矩阵要求</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kern w:val="0"/>
          <w:sz w:val="24"/>
          <w:szCs w:val="24"/>
        </w:rPr>
      </w:pPr>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hint="eastAsia" w:ascii="宋体" w:hAnsi="宋体" w:eastAsia="宋体" w:cs="宋体"/>
          <w:b/>
          <w:color w:val="000000" w:themeColor="text1"/>
          <w:kern w:val="0"/>
          <w:sz w:val="24"/>
          <w:szCs w:val="24"/>
          <w:lang w:val="en-US" w:eastAsia="zh-CN"/>
          <w14:textFill>
            <w14:solidFill>
              <w14:schemeClr w14:val="tx1"/>
            </w14:solidFill>
          </w14:textFill>
        </w:rPr>
        <w:t>1</w:t>
      </w:r>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ascii="宋体" w:hAnsi="宋体" w:eastAsia="宋体" w:cs="宋体"/>
          <w:b/>
          <w:color w:val="000000" w:themeColor="text1"/>
          <w:kern w:val="0"/>
          <w:sz w:val="24"/>
          <w:szCs w:val="24"/>
          <w14:textFill>
            <w14:solidFill>
              <w14:schemeClr w14:val="tx1"/>
            </w14:solidFill>
          </w14:textFill>
        </w:rPr>
        <w:t>课程体系矩阵</w:t>
      </w:r>
      <w:r>
        <w:rPr>
          <w:rFonts w:hint="eastAsia" w:ascii="宋体" w:hAnsi="宋体" w:eastAsia="宋体" w:cs="宋体"/>
          <w:color w:val="000000" w:themeColor="text1"/>
          <w:kern w:val="0"/>
          <w:sz w:val="24"/>
          <w:szCs w:val="24"/>
          <w14:textFill>
            <w14:solidFill>
              <w14:schemeClr w14:val="tx1"/>
            </w14:solidFill>
          </w14:textFill>
        </w:rPr>
        <w:t>：</w:t>
      </w:r>
      <w:r>
        <w:rPr>
          <w:rFonts w:ascii="宋体" w:hAnsi="宋体" w:eastAsia="宋体" w:cs="宋体"/>
          <w:kern w:val="0"/>
          <w:sz w:val="24"/>
          <w:szCs w:val="24"/>
        </w:rPr>
        <w:t>表示</w:t>
      </w:r>
      <w:r>
        <w:rPr>
          <w:rFonts w:hint="eastAsia" w:ascii="宋体" w:hAnsi="宋体" w:eastAsia="宋体" w:cs="宋体"/>
          <w:kern w:val="0"/>
          <w:sz w:val="24"/>
          <w:szCs w:val="24"/>
        </w:rPr>
        <w:t>课程</w:t>
      </w:r>
      <w:r>
        <w:rPr>
          <w:rFonts w:ascii="宋体" w:hAnsi="宋体" w:eastAsia="宋体" w:cs="宋体"/>
          <w:kern w:val="0"/>
          <w:sz w:val="24"/>
          <w:szCs w:val="24"/>
        </w:rPr>
        <w:t>对</w:t>
      </w:r>
      <w:r>
        <w:rPr>
          <w:rFonts w:hint="eastAsia" w:ascii="宋体" w:hAnsi="宋体" w:eastAsia="宋体" w:cs="宋体"/>
          <w:kern w:val="0"/>
          <w:sz w:val="24"/>
          <w:szCs w:val="24"/>
        </w:rPr>
        <w:t>培养规格</w:t>
      </w:r>
      <w:r>
        <w:rPr>
          <w:rFonts w:ascii="宋体" w:hAnsi="宋体" w:eastAsia="宋体" w:cs="宋体"/>
          <w:kern w:val="0"/>
          <w:sz w:val="24"/>
          <w:szCs w:val="24"/>
        </w:rPr>
        <w:t>的支撑，保障专业所设定的</w:t>
      </w:r>
      <w:r>
        <w:rPr>
          <w:rFonts w:hint="eastAsia" w:ascii="宋体" w:hAnsi="宋体" w:eastAsia="宋体" w:cs="宋体"/>
          <w:kern w:val="0"/>
          <w:sz w:val="24"/>
          <w:szCs w:val="24"/>
        </w:rPr>
        <w:t>培养规格</w:t>
      </w:r>
      <w:r>
        <w:rPr>
          <w:rFonts w:ascii="宋体" w:hAnsi="宋体" w:eastAsia="宋体" w:cs="宋体"/>
          <w:kern w:val="0"/>
          <w:sz w:val="24"/>
          <w:szCs w:val="24"/>
        </w:rPr>
        <w:t>都有相应教学活动来支撑</w:t>
      </w:r>
      <w:r>
        <w:rPr>
          <w:rFonts w:hint="eastAsia" w:ascii="宋体" w:hAnsi="宋体" w:eastAsia="宋体" w:cs="宋体"/>
          <w:kern w:val="0"/>
          <w:sz w:val="24"/>
          <w:szCs w:val="24"/>
        </w:rPr>
        <w:t>，</w:t>
      </w:r>
      <w:r>
        <w:rPr>
          <w:rFonts w:hint="eastAsia" w:ascii="宋体" w:hAnsi="宋体" w:eastAsia="宋体" w:cs="宋体"/>
          <w:b/>
          <w:kern w:val="0"/>
          <w:sz w:val="24"/>
          <w:szCs w:val="24"/>
        </w:rPr>
        <w:t>明确</w:t>
      </w:r>
      <w:r>
        <w:rPr>
          <w:rFonts w:ascii="宋体" w:hAnsi="宋体" w:eastAsia="宋体" w:cs="宋体"/>
          <w:b/>
          <w:kern w:val="0"/>
          <w:sz w:val="24"/>
          <w:szCs w:val="24"/>
        </w:rPr>
        <w:t>每一门课程对人才培养</w:t>
      </w:r>
      <w:r>
        <w:rPr>
          <w:rFonts w:hint="eastAsia" w:ascii="宋体" w:hAnsi="宋体" w:eastAsia="宋体" w:cs="宋体"/>
          <w:b/>
          <w:kern w:val="0"/>
          <w:sz w:val="24"/>
          <w:szCs w:val="24"/>
        </w:rPr>
        <w:t>规格</w:t>
      </w:r>
      <w:r>
        <w:rPr>
          <w:rFonts w:ascii="宋体" w:hAnsi="宋体" w:eastAsia="宋体" w:cs="宋体"/>
          <w:b/>
          <w:kern w:val="0"/>
          <w:sz w:val="24"/>
          <w:szCs w:val="24"/>
        </w:rPr>
        <w:t>的支撑</w:t>
      </w:r>
      <w:r>
        <w:rPr>
          <w:rFonts w:hint="eastAsia" w:ascii="宋体" w:hAnsi="宋体" w:eastAsia="宋体" w:cs="宋体"/>
          <w:b/>
          <w:kern w:val="0"/>
          <w:sz w:val="24"/>
          <w:szCs w:val="24"/>
        </w:rPr>
        <w:t>度</w:t>
      </w:r>
      <w:r>
        <w:rPr>
          <w:rFonts w:ascii="宋体" w:hAnsi="宋体" w:eastAsia="宋体" w:cs="宋体"/>
          <w:kern w:val="0"/>
          <w:sz w:val="24"/>
          <w:szCs w:val="24"/>
        </w:rPr>
        <w:t>，</w:t>
      </w:r>
      <w:r>
        <w:rPr>
          <w:rFonts w:hint="eastAsia" w:ascii="宋体" w:hAnsi="宋体" w:eastAsia="宋体" w:cs="宋体"/>
          <w:kern w:val="0"/>
          <w:sz w:val="24"/>
          <w:szCs w:val="24"/>
        </w:rPr>
        <w:t>其中</w:t>
      </w:r>
      <w:r>
        <w:rPr>
          <w:rFonts w:hint="eastAsia" w:ascii="宋体" w:hAnsi="宋体" w:eastAsia="宋体" w:cs="宋体"/>
          <w:b/>
          <w:kern w:val="0"/>
          <w:sz w:val="28"/>
          <w:szCs w:val="28"/>
        </w:rPr>
        <w:t>H</w:t>
      </w:r>
      <w:r>
        <w:rPr>
          <w:rFonts w:hint="eastAsia" w:ascii="宋体" w:hAnsi="宋体" w:eastAsia="宋体" w:cs="宋体"/>
          <w:kern w:val="0"/>
          <w:sz w:val="24"/>
          <w:szCs w:val="24"/>
        </w:rPr>
        <w:t>(高</w:t>
      </w:r>
      <w:r>
        <w:rPr>
          <w:rFonts w:hint="eastAsia" w:ascii="宋体" w:hAnsi="宋体" w:eastAsia="宋体" w:cs="宋体"/>
          <w:kern w:val="0"/>
          <w:sz w:val="24"/>
          <w:szCs w:val="24"/>
          <w:lang w:val="en-US" w:eastAsia="zh-CN"/>
        </w:rPr>
        <w:t>度</w:t>
      </w:r>
      <w:r>
        <w:rPr>
          <w:rFonts w:ascii="宋体" w:hAnsi="宋体" w:eastAsia="宋体" w:cs="宋体"/>
          <w:kern w:val="0"/>
          <w:sz w:val="24"/>
          <w:szCs w:val="24"/>
        </w:rPr>
        <w:t>支撑</w:t>
      </w:r>
      <w:r>
        <w:rPr>
          <w:rFonts w:hint="eastAsia" w:ascii="宋体" w:hAnsi="宋体" w:eastAsia="宋体" w:cs="宋体"/>
          <w:kern w:val="0"/>
          <w:sz w:val="24"/>
          <w:szCs w:val="24"/>
        </w:rPr>
        <w:t>)，</w:t>
      </w:r>
      <w:r>
        <w:rPr>
          <w:rFonts w:hint="eastAsia" w:ascii="宋体" w:hAnsi="宋体" w:eastAsia="宋体" w:cs="宋体"/>
          <w:b/>
          <w:kern w:val="0"/>
          <w:sz w:val="28"/>
          <w:szCs w:val="24"/>
        </w:rPr>
        <w:t>M</w:t>
      </w:r>
      <w:r>
        <w:rPr>
          <w:rFonts w:hint="eastAsia" w:ascii="宋体" w:hAnsi="宋体" w:eastAsia="宋体" w:cs="宋体"/>
          <w:kern w:val="0"/>
          <w:sz w:val="24"/>
          <w:szCs w:val="24"/>
        </w:rPr>
        <w:t>(中度</w:t>
      </w:r>
      <w:r>
        <w:rPr>
          <w:rFonts w:ascii="宋体" w:hAnsi="宋体" w:eastAsia="宋体" w:cs="宋体"/>
          <w:kern w:val="0"/>
          <w:sz w:val="24"/>
          <w:szCs w:val="24"/>
        </w:rPr>
        <w:t>支撑</w:t>
      </w:r>
      <w:r>
        <w:rPr>
          <w:rFonts w:hint="eastAsia" w:ascii="宋体" w:hAnsi="宋体" w:eastAsia="宋体" w:cs="宋体"/>
          <w:kern w:val="0"/>
          <w:sz w:val="24"/>
          <w:szCs w:val="24"/>
        </w:rPr>
        <w:t>)、</w:t>
      </w:r>
      <w:r>
        <w:rPr>
          <w:rFonts w:hint="eastAsia" w:ascii="宋体" w:hAnsi="宋体" w:eastAsia="宋体" w:cs="宋体"/>
          <w:b/>
          <w:kern w:val="0"/>
          <w:sz w:val="28"/>
          <w:szCs w:val="24"/>
        </w:rPr>
        <w:t>L</w:t>
      </w:r>
      <w:r>
        <w:rPr>
          <w:rFonts w:hint="eastAsia" w:ascii="宋体" w:hAnsi="宋体" w:eastAsia="宋体" w:cs="宋体"/>
          <w:kern w:val="0"/>
          <w:sz w:val="24"/>
          <w:szCs w:val="24"/>
        </w:rPr>
        <w:t>（低</w:t>
      </w:r>
      <w:r>
        <w:rPr>
          <w:rFonts w:hint="eastAsia" w:ascii="宋体" w:hAnsi="宋体" w:eastAsia="宋体" w:cs="宋体"/>
          <w:kern w:val="0"/>
          <w:sz w:val="24"/>
          <w:szCs w:val="24"/>
          <w:lang w:val="en-US" w:eastAsia="zh-CN"/>
        </w:rPr>
        <w:t>度</w:t>
      </w:r>
      <w:r>
        <w:rPr>
          <w:rFonts w:hint="eastAsia" w:ascii="宋体" w:hAnsi="宋体" w:eastAsia="宋体" w:cs="宋体"/>
          <w:kern w:val="0"/>
          <w:sz w:val="24"/>
          <w:szCs w:val="24"/>
        </w:rPr>
        <w:t>支撑）。</w:t>
      </w:r>
    </w:p>
    <w:tbl>
      <w:tblPr>
        <w:tblStyle w:val="8"/>
        <w:tblW w:w="14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992"/>
        <w:gridCol w:w="993"/>
        <w:gridCol w:w="992"/>
        <w:gridCol w:w="719"/>
        <w:gridCol w:w="980"/>
        <w:gridCol w:w="991"/>
        <w:gridCol w:w="991"/>
        <w:gridCol w:w="713"/>
        <w:gridCol w:w="992"/>
        <w:gridCol w:w="993"/>
        <w:gridCol w:w="99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Merge w:val="restart"/>
            <w:tcBorders>
              <w:tl2br w:val="single" w:color="auto" w:sz="4" w:space="0"/>
            </w:tcBorders>
          </w:tcPr>
          <w:p>
            <w:pPr>
              <w:widowControl/>
              <w:spacing w:line="276" w:lineRule="auto"/>
              <w:ind w:left="2038" w:leftChars="628" w:hanging="720" w:hangingChars="300"/>
              <w:jc w:val="left"/>
              <w:rPr>
                <w:rFonts w:ascii="宋体" w:hAnsi="宋体" w:eastAsia="宋体" w:cs="宋体"/>
                <w:kern w:val="0"/>
                <w:sz w:val="24"/>
                <w:szCs w:val="24"/>
              </w:rPr>
            </w:pPr>
            <w:r>
              <w:rPr>
                <w:rFonts w:hint="eastAsia" w:ascii="宋体" w:hAnsi="宋体" w:eastAsia="宋体" w:cs="宋体"/>
                <w:kern w:val="0"/>
                <w:sz w:val="24"/>
                <w:szCs w:val="24"/>
              </w:rPr>
              <w:t>培养</w:t>
            </w:r>
            <w:r>
              <w:rPr>
                <w:rFonts w:ascii="宋体" w:hAnsi="宋体" w:eastAsia="宋体" w:cs="宋体"/>
                <w:kern w:val="0"/>
                <w:sz w:val="24"/>
                <w:szCs w:val="24"/>
              </w:rPr>
              <w:t>规格</w:t>
            </w:r>
          </w:p>
          <w:p>
            <w:pPr>
              <w:widowControl/>
              <w:spacing w:line="276"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课程</w:t>
            </w:r>
          </w:p>
        </w:tc>
        <w:tc>
          <w:tcPr>
            <w:tcW w:w="3696" w:type="dxa"/>
            <w:gridSpan w:val="4"/>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w:t>
            </w:r>
          </w:p>
        </w:tc>
        <w:tc>
          <w:tcPr>
            <w:tcW w:w="3675" w:type="dxa"/>
            <w:gridSpan w:val="4"/>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知识</w:t>
            </w:r>
          </w:p>
        </w:tc>
        <w:tc>
          <w:tcPr>
            <w:tcW w:w="3686" w:type="dxa"/>
            <w:gridSpan w:val="4"/>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Merge w:val="continue"/>
            <w:tcBorders>
              <w:tl2br w:val="single" w:color="auto" w:sz="4" w:space="0"/>
            </w:tcBorders>
          </w:tcPr>
          <w:p>
            <w:pPr>
              <w:widowControl/>
              <w:spacing w:line="276" w:lineRule="auto"/>
              <w:jc w:val="left"/>
              <w:rPr>
                <w:rFonts w:ascii="宋体" w:hAnsi="宋体" w:eastAsia="宋体" w:cs="宋体"/>
                <w:kern w:val="0"/>
                <w:sz w:val="24"/>
                <w:szCs w:val="24"/>
              </w:rPr>
            </w:pPr>
          </w:p>
        </w:tc>
        <w:tc>
          <w:tcPr>
            <w:tcW w:w="992"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素质1</w:t>
            </w:r>
          </w:p>
        </w:tc>
        <w:tc>
          <w:tcPr>
            <w:tcW w:w="993"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素质2</w:t>
            </w:r>
          </w:p>
        </w:tc>
        <w:tc>
          <w:tcPr>
            <w:tcW w:w="992"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素质3</w:t>
            </w:r>
          </w:p>
        </w:tc>
        <w:tc>
          <w:tcPr>
            <w:tcW w:w="719" w:type="dxa"/>
            <w:vAlign w:val="center"/>
          </w:tcPr>
          <w:p>
            <w:pPr>
              <w:spacing w:line="276" w:lineRule="auto"/>
              <w:jc w:val="center"/>
              <w:rPr>
                <w:rFonts w:ascii="宋体" w:hAnsi="宋体" w:eastAsia="宋体" w:cs="宋体"/>
                <w:kern w:val="0"/>
                <w:sz w:val="24"/>
                <w:szCs w:val="24"/>
              </w:rPr>
            </w:pPr>
            <w:r>
              <w:rPr>
                <w:rFonts w:ascii="宋体" w:hAnsi="宋体" w:eastAsia="宋体" w:cs="宋体"/>
                <w:kern w:val="0"/>
                <w:sz w:val="24"/>
                <w:szCs w:val="24"/>
              </w:rPr>
              <w:t>……</w:t>
            </w:r>
          </w:p>
        </w:tc>
        <w:tc>
          <w:tcPr>
            <w:tcW w:w="980"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知识1</w:t>
            </w:r>
          </w:p>
        </w:tc>
        <w:tc>
          <w:tcPr>
            <w:tcW w:w="991"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知识2</w:t>
            </w:r>
          </w:p>
        </w:tc>
        <w:tc>
          <w:tcPr>
            <w:tcW w:w="991" w:type="dxa"/>
            <w:vAlign w:val="center"/>
          </w:tcPr>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知识3</w:t>
            </w:r>
          </w:p>
        </w:tc>
        <w:tc>
          <w:tcPr>
            <w:tcW w:w="713" w:type="dxa"/>
            <w:vAlign w:val="center"/>
          </w:tcPr>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992" w:type="dxa"/>
            <w:vAlign w:val="center"/>
          </w:tcPr>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能力1</w:t>
            </w:r>
          </w:p>
        </w:tc>
        <w:tc>
          <w:tcPr>
            <w:tcW w:w="993" w:type="dxa"/>
            <w:vAlign w:val="center"/>
          </w:tcPr>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能力2</w:t>
            </w:r>
          </w:p>
        </w:tc>
        <w:tc>
          <w:tcPr>
            <w:tcW w:w="992" w:type="dxa"/>
            <w:vAlign w:val="center"/>
          </w:tcPr>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能力3</w:t>
            </w:r>
          </w:p>
        </w:tc>
        <w:tc>
          <w:tcPr>
            <w:tcW w:w="709" w:type="dxa"/>
            <w:vAlign w:val="center"/>
          </w:tcPr>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示例</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法律原理</w:t>
            </w:r>
            <w:r>
              <w:rPr>
                <w:rFonts w:ascii="宋体" w:hAnsi="宋体" w:eastAsia="宋体" w:cs="宋体"/>
                <w:b/>
                <w:bCs/>
                <w:kern w:val="0"/>
                <w:sz w:val="24"/>
                <w:szCs w:val="24"/>
              </w:rPr>
              <w:t>与技术</w:t>
            </w:r>
          </w:p>
        </w:tc>
        <w:tc>
          <w:tcPr>
            <w:tcW w:w="992"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H</w:t>
            </w:r>
          </w:p>
        </w:tc>
        <w:tc>
          <w:tcPr>
            <w:tcW w:w="993"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H</w:t>
            </w:r>
          </w:p>
        </w:tc>
        <w:tc>
          <w:tcPr>
            <w:tcW w:w="992"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H</w:t>
            </w:r>
          </w:p>
        </w:tc>
        <w:tc>
          <w:tcPr>
            <w:tcW w:w="719" w:type="dxa"/>
            <w:vAlign w:val="center"/>
          </w:tcPr>
          <w:p>
            <w:pPr>
              <w:widowControl/>
              <w:spacing w:line="276" w:lineRule="auto"/>
              <w:jc w:val="center"/>
              <w:rPr>
                <w:rFonts w:ascii="宋体" w:hAnsi="宋体" w:eastAsia="宋体" w:cs="宋体"/>
                <w:b/>
                <w:bCs/>
                <w:kern w:val="0"/>
                <w:sz w:val="28"/>
                <w:szCs w:val="28"/>
              </w:rPr>
            </w:pPr>
          </w:p>
        </w:tc>
        <w:tc>
          <w:tcPr>
            <w:tcW w:w="980" w:type="dxa"/>
            <w:vAlign w:val="center"/>
          </w:tcPr>
          <w:p>
            <w:pPr>
              <w:widowControl/>
              <w:spacing w:line="276" w:lineRule="auto"/>
              <w:jc w:val="center"/>
              <w:rPr>
                <w:rFonts w:ascii="宋体" w:hAnsi="宋体" w:eastAsia="宋体" w:cs="宋体"/>
                <w:b/>
                <w:bCs/>
                <w:kern w:val="0"/>
                <w:sz w:val="28"/>
                <w:szCs w:val="28"/>
              </w:rPr>
            </w:pPr>
            <w:r>
              <w:rPr>
                <w:rFonts w:ascii="宋体" w:hAnsi="宋体" w:eastAsia="宋体" w:cs="宋体"/>
                <w:b/>
                <w:bCs/>
                <w:kern w:val="0"/>
                <w:sz w:val="28"/>
                <w:szCs w:val="28"/>
              </w:rPr>
              <w:t>M</w:t>
            </w:r>
          </w:p>
        </w:tc>
        <w:tc>
          <w:tcPr>
            <w:tcW w:w="991"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H</w:t>
            </w:r>
          </w:p>
        </w:tc>
        <w:tc>
          <w:tcPr>
            <w:tcW w:w="991"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L</w:t>
            </w:r>
          </w:p>
        </w:tc>
        <w:tc>
          <w:tcPr>
            <w:tcW w:w="713" w:type="dxa"/>
            <w:vAlign w:val="center"/>
          </w:tcPr>
          <w:p>
            <w:pPr>
              <w:widowControl/>
              <w:spacing w:line="276" w:lineRule="auto"/>
              <w:jc w:val="center"/>
              <w:rPr>
                <w:rFonts w:ascii="宋体" w:hAnsi="宋体" w:eastAsia="宋体" w:cs="宋体"/>
                <w:b/>
                <w:bCs/>
                <w:kern w:val="0"/>
                <w:sz w:val="28"/>
                <w:szCs w:val="28"/>
              </w:rPr>
            </w:pPr>
          </w:p>
        </w:tc>
        <w:tc>
          <w:tcPr>
            <w:tcW w:w="992"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H</w:t>
            </w:r>
          </w:p>
        </w:tc>
        <w:tc>
          <w:tcPr>
            <w:tcW w:w="993" w:type="dxa"/>
            <w:vAlign w:val="center"/>
          </w:tcPr>
          <w:p>
            <w:pPr>
              <w:widowControl/>
              <w:spacing w:line="276"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M</w:t>
            </w:r>
          </w:p>
        </w:tc>
        <w:tc>
          <w:tcPr>
            <w:tcW w:w="992" w:type="dxa"/>
            <w:vAlign w:val="center"/>
          </w:tcPr>
          <w:p>
            <w:pPr>
              <w:widowControl/>
              <w:spacing w:line="276" w:lineRule="auto"/>
              <w:jc w:val="center"/>
              <w:rPr>
                <w:rFonts w:ascii="宋体" w:hAnsi="宋体" w:eastAsia="宋体" w:cs="宋体"/>
                <w:b/>
                <w:bCs/>
                <w:kern w:val="0"/>
                <w:sz w:val="24"/>
                <w:szCs w:val="24"/>
              </w:rPr>
            </w:pPr>
            <w:r>
              <w:rPr>
                <w:rFonts w:hint="eastAsia" w:ascii="宋体" w:hAnsi="宋体" w:eastAsia="宋体" w:cs="宋体"/>
                <w:b/>
                <w:bCs/>
                <w:kern w:val="0"/>
                <w:sz w:val="28"/>
                <w:szCs w:val="28"/>
              </w:rPr>
              <w:t>M</w:t>
            </w:r>
          </w:p>
        </w:tc>
        <w:tc>
          <w:tcPr>
            <w:tcW w:w="709" w:type="dxa"/>
            <w:vAlign w:val="center"/>
          </w:tcPr>
          <w:p>
            <w:pPr>
              <w:widowControl/>
              <w:spacing w:line="276" w:lineRule="auto"/>
              <w:jc w:val="center"/>
              <w:rPr>
                <w:rFonts w:ascii="宋体" w:hAnsi="宋体" w:eastAsia="宋体" w:cs="宋体"/>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972" w:type="dxa"/>
          </w:tcPr>
          <w:p>
            <w:pPr>
              <w:widowControl/>
              <w:spacing w:line="276"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课程</w:t>
            </w:r>
            <w:r>
              <w:rPr>
                <w:rFonts w:hint="eastAsia" w:ascii="宋体" w:hAnsi="宋体" w:eastAsia="宋体" w:cs="宋体"/>
                <w:kern w:val="0"/>
                <w:sz w:val="24"/>
                <w:szCs w:val="24"/>
                <w:lang w:val="en-US" w:eastAsia="zh-CN"/>
              </w:rPr>
              <w:t>1</w:t>
            </w:r>
          </w:p>
        </w:tc>
        <w:tc>
          <w:tcPr>
            <w:tcW w:w="992" w:type="dxa"/>
          </w:tcPr>
          <w:p>
            <w:pPr>
              <w:widowControl/>
              <w:spacing w:line="276" w:lineRule="auto"/>
              <w:jc w:val="center"/>
              <w:rPr>
                <w:rFonts w:ascii="宋体" w:hAnsi="宋体" w:eastAsia="宋体" w:cs="宋体"/>
                <w:kern w:val="0"/>
                <w:sz w:val="24"/>
                <w:szCs w:val="24"/>
              </w:rPr>
            </w:pPr>
          </w:p>
        </w:tc>
        <w:tc>
          <w:tcPr>
            <w:tcW w:w="993" w:type="dxa"/>
          </w:tcPr>
          <w:p>
            <w:pPr>
              <w:widowControl/>
              <w:spacing w:line="276" w:lineRule="auto"/>
              <w:jc w:val="center"/>
              <w:rPr>
                <w:rFonts w:ascii="宋体" w:hAnsi="宋体" w:eastAsia="宋体" w:cs="宋体"/>
                <w:kern w:val="0"/>
                <w:sz w:val="24"/>
                <w:szCs w:val="24"/>
              </w:rPr>
            </w:pPr>
          </w:p>
        </w:tc>
        <w:tc>
          <w:tcPr>
            <w:tcW w:w="992" w:type="dxa"/>
          </w:tcPr>
          <w:p>
            <w:pPr>
              <w:widowControl/>
              <w:spacing w:line="276" w:lineRule="auto"/>
              <w:jc w:val="center"/>
              <w:rPr>
                <w:rFonts w:ascii="宋体" w:hAnsi="宋体" w:eastAsia="宋体" w:cs="宋体"/>
                <w:kern w:val="0"/>
                <w:sz w:val="24"/>
                <w:szCs w:val="24"/>
              </w:rPr>
            </w:pPr>
          </w:p>
        </w:tc>
        <w:tc>
          <w:tcPr>
            <w:tcW w:w="719" w:type="dxa"/>
          </w:tcPr>
          <w:p>
            <w:pPr>
              <w:widowControl/>
              <w:spacing w:line="276" w:lineRule="auto"/>
              <w:jc w:val="center"/>
              <w:rPr>
                <w:rFonts w:ascii="宋体" w:hAnsi="宋体" w:eastAsia="宋体" w:cs="宋体"/>
                <w:kern w:val="0"/>
                <w:sz w:val="24"/>
                <w:szCs w:val="24"/>
              </w:rPr>
            </w:pPr>
          </w:p>
        </w:tc>
        <w:tc>
          <w:tcPr>
            <w:tcW w:w="980" w:type="dxa"/>
          </w:tcPr>
          <w:p>
            <w:pPr>
              <w:widowControl/>
              <w:spacing w:line="276" w:lineRule="auto"/>
              <w:jc w:val="center"/>
              <w:rPr>
                <w:rFonts w:ascii="宋体" w:hAnsi="宋体" w:eastAsia="宋体" w:cs="宋体"/>
                <w:kern w:val="0"/>
                <w:sz w:val="24"/>
                <w:szCs w:val="24"/>
              </w:rPr>
            </w:pPr>
          </w:p>
        </w:tc>
        <w:tc>
          <w:tcPr>
            <w:tcW w:w="991" w:type="dxa"/>
          </w:tcPr>
          <w:p>
            <w:pPr>
              <w:widowControl/>
              <w:spacing w:line="276" w:lineRule="auto"/>
              <w:jc w:val="center"/>
              <w:rPr>
                <w:rFonts w:ascii="宋体" w:hAnsi="宋体" w:eastAsia="宋体" w:cs="宋体"/>
                <w:kern w:val="0"/>
                <w:sz w:val="24"/>
                <w:szCs w:val="24"/>
              </w:rPr>
            </w:pPr>
          </w:p>
        </w:tc>
        <w:tc>
          <w:tcPr>
            <w:tcW w:w="991" w:type="dxa"/>
          </w:tcPr>
          <w:p>
            <w:pPr>
              <w:widowControl/>
              <w:spacing w:line="276" w:lineRule="auto"/>
              <w:jc w:val="center"/>
              <w:rPr>
                <w:rFonts w:ascii="宋体" w:hAnsi="宋体" w:eastAsia="宋体" w:cs="宋体"/>
                <w:kern w:val="0"/>
                <w:sz w:val="24"/>
                <w:szCs w:val="24"/>
              </w:rPr>
            </w:pPr>
          </w:p>
        </w:tc>
        <w:tc>
          <w:tcPr>
            <w:tcW w:w="713" w:type="dxa"/>
          </w:tcPr>
          <w:p>
            <w:pPr>
              <w:widowControl/>
              <w:spacing w:line="276" w:lineRule="auto"/>
              <w:jc w:val="center"/>
              <w:rPr>
                <w:rFonts w:ascii="宋体" w:hAnsi="宋体" w:eastAsia="宋体" w:cs="宋体"/>
                <w:kern w:val="0"/>
                <w:sz w:val="24"/>
                <w:szCs w:val="24"/>
              </w:rPr>
            </w:pPr>
          </w:p>
        </w:tc>
        <w:tc>
          <w:tcPr>
            <w:tcW w:w="992" w:type="dxa"/>
          </w:tcPr>
          <w:p>
            <w:pPr>
              <w:widowControl/>
              <w:spacing w:line="276" w:lineRule="auto"/>
              <w:jc w:val="center"/>
              <w:rPr>
                <w:rFonts w:ascii="宋体" w:hAnsi="宋体" w:eastAsia="宋体" w:cs="宋体"/>
                <w:kern w:val="0"/>
                <w:sz w:val="24"/>
                <w:szCs w:val="24"/>
              </w:rPr>
            </w:pPr>
          </w:p>
        </w:tc>
        <w:tc>
          <w:tcPr>
            <w:tcW w:w="993" w:type="dxa"/>
          </w:tcPr>
          <w:p>
            <w:pPr>
              <w:widowControl/>
              <w:spacing w:line="276" w:lineRule="auto"/>
              <w:jc w:val="center"/>
              <w:rPr>
                <w:rFonts w:ascii="宋体" w:hAnsi="宋体" w:eastAsia="宋体" w:cs="宋体"/>
                <w:kern w:val="0"/>
                <w:sz w:val="24"/>
                <w:szCs w:val="24"/>
              </w:rPr>
            </w:pPr>
          </w:p>
        </w:tc>
        <w:tc>
          <w:tcPr>
            <w:tcW w:w="992" w:type="dxa"/>
          </w:tcPr>
          <w:p>
            <w:pPr>
              <w:widowControl/>
              <w:spacing w:line="276" w:lineRule="auto"/>
              <w:jc w:val="center"/>
              <w:rPr>
                <w:rFonts w:ascii="宋体" w:hAnsi="宋体" w:eastAsia="宋体" w:cs="宋体"/>
                <w:kern w:val="0"/>
                <w:sz w:val="24"/>
                <w:szCs w:val="24"/>
              </w:rPr>
            </w:pPr>
          </w:p>
        </w:tc>
        <w:tc>
          <w:tcPr>
            <w:tcW w:w="709" w:type="dxa"/>
          </w:tcPr>
          <w:p>
            <w:pPr>
              <w:widowControl/>
              <w:spacing w:line="276"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972" w:type="dxa"/>
          </w:tcPr>
          <w:p>
            <w:pPr>
              <w:widowControl/>
              <w:spacing w:line="276" w:lineRule="auto"/>
              <w:jc w:val="center"/>
              <w:rPr>
                <w:rFonts w:ascii="宋体" w:hAnsi="宋体" w:eastAsia="宋体" w:cs="宋体"/>
                <w:kern w:val="0"/>
                <w:sz w:val="24"/>
                <w:szCs w:val="24"/>
              </w:rP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993" w:type="dxa"/>
          </w:tcPr>
          <w:p>
            <w:pPr>
              <w:jc w:val="cente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719" w:type="dxa"/>
          </w:tcPr>
          <w:p>
            <w:pPr>
              <w:jc w:val="center"/>
            </w:pPr>
            <w:r>
              <w:rPr>
                <w:rFonts w:ascii="宋体" w:hAnsi="宋体" w:eastAsia="宋体" w:cs="宋体"/>
                <w:kern w:val="0"/>
                <w:sz w:val="24"/>
                <w:szCs w:val="24"/>
              </w:rPr>
              <w:t>……</w:t>
            </w:r>
          </w:p>
        </w:tc>
        <w:tc>
          <w:tcPr>
            <w:tcW w:w="980" w:type="dxa"/>
          </w:tcPr>
          <w:p>
            <w:pPr>
              <w:jc w:val="center"/>
            </w:pPr>
            <w:r>
              <w:rPr>
                <w:rFonts w:ascii="宋体" w:hAnsi="宋体" w:eastAsia="宋体" w:cs="宋体"/>
                <w:kern w:val="0"/>
                <w:sz w:val="24"/>
                <w:szCs w:val="24"/>
              </w:rPr>
              <w:t>……</w:t>
            </w:r>
          </w:p>
        </w:tc>
        <w:tc>
          <w:tcPr>
            <w:tcW w:w="991" w:type="dxa"/>
          </w:tcPr>
          <w:p>
            <w:pPr>
              <w:jc w:val="center"/>
            </w:pPr>
            <w:r>
              <w:rPr>
                <w:rFonts w:ascii="宋体" w:hAnsi="宋体" w:eastAsia="宋体" w:cs="宋体"/>
                <w:kern w:val="0"/>
                <w:sz w:val="24"/>
                <w:szCs w:val="24"/>
              </w:rPr>
              <w:t>……</w:t>
            </w:r>
          </w:p>
        </w:tc>
        <w:tc>
          <w:tcPr>
            <w:tcW w:w="991" w:type="dxa"/>
          </w:tcPr>
          <w:p>
            <w:pPr>
              <w:jc w:val="center"/>
            </w:pPr>
            <w:r>
              <w:rPr>
                <w:rFonts w:ascii="宋体" w:hAnsi="宋体" w:eastAsia="宋体" w:cs="宋体"/>
                <w:kern w:val="0"/>
                <w:sz w:val="24"/>
                <w:szCs w:val="24"/>
              </w:rPr>
              <w:t>……</w:t>
            </w:r>
          </w:p>
        </w:tc>
        <w:tc>
          <w:tcPr>
            <w:tcW w:w="713" w:type="dxa"/>
          </w:tcPr>
          <w:p>
            <w:pPr>
              <w:jc w:val="cente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993" w:type="dxa"/>
          </w:tcPr>
          <w:p>
            <w:pPr>
              <w:jc w:val="cente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709" w:type="dxa"/>
          </w:tcPr>
          <w:p>
            <w:pPr>
              <w:jc w:val="center"/>
            </w:pPr>
            <w:r>
              <w:rPr>
                <w:rFonts w:ascii="宋体" w:hAnsi="宋体" w:eastAsia="宋体" w:cs="宋体"/>
                <w:kern w:val="0"/>
                <w:sz w:val="24"/>
                <w:szCs w:val="24"/>
              </w:rPr>
              <w:t>……</w:t>
            </w:r>
          </w:p>
        </w:tc>
      </w:tr>
    </w:tbl>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color w:val="000000" w:themeColor="text1"/>
          <w:kern w:val="0"/>
          <w:sz w:val="24"/>
          <w:szCs w:val="24"/>
          <w:lang w:eastAsia="zh-CN"/>
          <w14:textFill>
            <w14:solidFill>
              <w14:schemeClr w14:val="tx1"/>
            </w14:solidFill>
          </w14:textFill>
        </w:rPr>
      </w:pPr>
      <w:bookmarkStart w:id="0" w:name="_GoBack"/>
      <w:bookmarkEnd w:id="0"/>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hint="eastAsia" w:ascii="宋体" w:hAnsi="宋体" w:eastAsia="宋体" w:cs="宋体"/>
          <w:b/>
          <w:color w:val="000000" w:themeColor="text1"/>
          <w:kern w:val="0"/>
          <w:sz w:val="24"/>
          <w:szCs w:val="24"/>
          <w:lang w:val="en-US" w:eastAsia="zh-CN"/>
          <w14:textFill>
            <w14:solidFill>
              <w14:schemeClr w14:val="tx1"/>
            </w14:solidFill>
          </w14:textFill>
        </w:rPr>
        <w:t>2</w:t>
      </w:r>
      <w:r>
        <w:rPr>
          <w:rFonts w:hint="eastAsia" w:ascii="宋体" w:hAnsi="宋体" w:eastAsia="宋体" w:cs="宋体"/>
          <w:b/>
          <w:color w:val="000000" w:themeColor="text1"/>
          <w:kern w:val="0"/>
          <w:sz w:val="24"/>
          <w:szCs w:val="24"/>
          <w:lang w:eastAsia="zh-CN"/>
          <w14:textFill>
            <w14:solidFill>
              <w14:schemeClr w14:val="tx1"/>
            </w14:solidFill>
          </w14:textFill>
        </w:rPr>
        <w:t>）门课矩阵：</w:t>
      </w:r>
      <w:r>
        <w:rPr>
          <w:rFonts w:hint="eastAsia" w:ascii="宋体" w:hAnsi="宋体" w:eastAsia="宋体" w:cs="宋体"/>
          <w:b w:val="0"/>
          <w:bCs/>
          <w:color w:val="000000" w:themeColor="text1"/>
          <w:kern w:val="0"/>
          <w:sz w:val="24"/>
          <w:szCs w:val="24"/>
          <w:lang w:eastAsia="zh-CN"/>
          <w14:textFill>
            <w14:solidFill>
              <w14:schemeClr w14:val="tx1"/>
            </w14:solidFill>
          </w14:textFill>
        </w:rPr>
        <w:t>也就是课程教学单元矩阵，表示课程教学目标与课程项目（或章节）之间的关系，对教学内容进行重构，设计出项目（或章节）、学习模块或学习情境。并明确每个项目对课程教学目标的支撑作用</w:t>
      </w:r>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hint="eastAsia" w:ascii="宋体" w:hAnsi="宋体" w:eastAsia="宋体" w:cs="宋体"/>
          <w:kern w:val="0"/>
          <w:sz w:val="24"/>
          <w:szCs w:val="24"/>
        </w:rPr>
        <w:t>其中</w:t>
      </w:r>
      <w:r>
        <w:rPr>
          <w:rFonts w:hint="eastAsia" w:ascii="宋体" w:hAnsi="宋体" w:eastAsia="宋体" w:cs="宋体"/>
          <w:b/>
          <w:kern w:val="0"/>
          <w:sz w:val="28"/>
          <w:szCs w:val="28"/>
        </w:rPr>
        <w:t>H</w:t>
      </w:r>
      <w:r>
        <w:rPr>
          <w:rFonts w:hint="eastAsia" w:ascii="宋体" w:hAnsi="宋体" w:eastAsia="宋体" w:cs="宋体"/>
          <w:kern w:val="0"/>
          <w:sz w:val="24"/>
          <w:szCs w:val="24"/>
        </w:rPr>
        <w:t>(高</w:t>
      </w:r>
      <w:r>
        <w:rPr>
          <w:rFonts w:hint="eastAsia" w:ascii="宋体" w:hAnsi="宋体" w:eastAsia="宋体" w:cs="宋体"/>
          <w:kern w:val="0"/>
          <w:sz w:val="24"/>
          <w:szCs w:val="24"/>
          <w:lang w:val="en-US" w:eastAsia="zh-CN"/>
        </w:rPr>
        <w:t>度</w:t>
      </w:r>
      <w:r>
        <w:rPr>
          <w:rFonts w:ascii="宋体" w:hAnsi="宋体" w:eastAsia="宋体" w:cs="宋体"/>
          <w:kern w:val="0"/>
          <w:sz w:val="24"/>
          <w:szCs w:val="24"/>
        </w:rPr>
        <w:t>支撑</w:t>
      </w:r>
      <w:r>
        <w:rPr>
          <w:rFonts w:hint="eastAsia" w:ascii="宋体" w:hAnsi="宋体" w:eastAsia="宋体" w:cs="宋体"/>
          <w:kern w:val="0"/>
          <w:sz w:val="24"/>
          <w:szCs w:val="24"/>
        </w:rPr>
        <w:t>)，</w:t>
      </w:r>
      <w:r>
        <w:rPr>
          <w:rFonts w:hint="eastAsia" w:ascii="宋体" w:hAnsi="宋体" w:eastAsia="宋体" w:cs="宋体"/>
          <w:b/>
          <w:kern w:val="0"/>
          <w:sz w:val="28"/>
          <w:szCs w:val="24"/>
        </w:rPr>
        <w:t>M</w:t>
      </w:r>
      <w:r>
        <w:rPr>
          <w:rFonts w:hint="eastAsia" w:ascii="宋体" w:hAnsi="宋体" w:eastAsia="宋体" w:cs="宋体"/>
          <w:kern w:val="0"/>
          <w:sz w:val="24"/>
          <w:szCs w:val="24"/>
        </w:rPr>
        <w:t>(中度</w:t>
      </w:r>
      <w:r>
        <w:rPr>
          <w:rFonts w:ascii="宋体" w:hAnsi="宋体" w:eastAsia="宋体" w:cs="宋体"/>
          <w:kern w:val="0"/>
          <w:sz w:val="24"/>
          <w:szCs w:val="24"/>
        </w:rPr>
        <w:t>支撑</w:t>
      </w:r>
      <w:r>
        <w:rPr>
          <w:rFonts w:hint="eastAsia" w:ascii="宋体" w:hAnsi="宋体" w:eastAsia="宋体" w:cs="宋体"/>
          <w:kern w:val="0"/>
          <w:sz w:val="24"/>
          <w:szCs w:val="24"/>
        </w:rPr>
        <w:t>)、</w:t>
      </w:r>
      <w:r>
        <w:rPr>
          <w:rFonts w:hint="eastAsia" w:ascii="宋体" w:hAnsi="宋体" w:eastAsia="宋体" w:cs="宋体"/>
          <w:b/>
          <w:kern w:val="0"/>
          <w:sz w:val="28"/>
          <w:szCs w:val="24"/>
        </w:rPr>
        <w:t>L</w:t>
      </w:r>
      <w:r>
        <w:rPr>
          <w:rFonts w:hint="eastAsia" w:ascii="宋体" w:hAnsi="宋体" w:eastAsia="宋体" w:cs="宋体"/>
          <w:kern w:val="0"/>
          <w:sz w:val="24"/>
          <w:szCs w:val="24"/>
        </w:rPr>
        <w:t>（低</w:t>
      </w:r>
      <w:r>
        <w:rPr>
          <w:rFonts w:hint="eastAsia" w:ascii="宋体" w:hAnsi="宋体" w:eastAsia="宋体" w:cs="宋体"/>
          <w:kern w:val="0"/>
          <w:sz w:val="24"/>
          <w:szCs w:val="24"/>
          <w:lang w:val="en-US" w:eastAsia="zh-CN"/>
        </w:rPr>
        <w:t>度</w:t>
      </w:r>
      <w:r>
        <w:rPr>
          <w:rFonts w:hint="eastAsia" w:ascii="宋体" w:hAnsi="宋体" w:eastAsia="宋体" w:cs="宋体"/>
          <w:kern w:val="0"/>
          <w:sz w:val="24"/>
          <w:szCs w:val="24"/>
        </w:rPr>
        <w:t>支撑）</w:t>
      </w:r>
      <w:r>
        <w:rPr>
          <w:rFonts w:hint="eastAsia" w:ascii="宋体" w:hAnsi="宋体" w:eastAsia="宋体" w:cs="宋体"/>
          <w:b/>
          <w:color w:val="000000" w:themeColor="text1"/>
          <w:kern w:val="0"/>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color w:val="000000" w:themeColor="text1"/>
          <w:kern w:val="0"/>
          <w:sz w:val="24"/>
          <w:szCs w:val="24"/>
          <w:lang w:eastAsia="zh-CN"/>
          <w14:textFill>
            <w14:solidFill>
              <w14:schemeClr w14:val="tx1"/>
            </w14:solidFill>
          </w14:textFill>
        </w:rPr>
      </w:pPr>
      <w:r>
        <w:rPr>
          <w:rFonts w:hint="eastAsia" w:ascii="宋体" w:hAnsi="宋体" w:eastAsia="宋体" w:cs="宋体"/>
          <w:b/>
          <w:color w:val="000000" w:themeColor="text1"/>
          <w:kern w:val="0"/>
          <w:sz w:val="24"/>
          <w:szCs w:val="24"/>
          <w:lang w:eastAsia="zh-CN"/>
          <w14:textFill>
            <w14:solidFill>
              <w14:schemeClr w14:val="tx1"/>
            </w14:solidFill>
          </w14:textFill>
        </w:rPr>
        <w:t>【</w:t>
      </w:r>
      <w:r>
        <w:rPr>
          <w:rFonts w:hint="eastAsia" w:ascii="宋体" w:hAnsi="宋体" w:eastAsia="宋体" w:cs="宋体"/>
          <w:b/>
          <w:color w:val="000000" w:themeColor="text1"/>
          <w:kern w:val="0"/>
          <w:sz w:val="24"/>
          <w:szCs w:val="24"/>
          <w:lang w:val="en-US" w:eastAsia="zh-CN"/>
          <w14:textFill>
            <w14:solidFill>
              <w14:schemeClr w14:val="tx1"/>
            </w14:solidFill>
          </w14:textFill>
        </w:rPr>
        <w:t>课程名称</w:t>
      </w:r>
      <w:r>
        <w:rPr>
          <w:rFonts w:hint="eastAsia" w:ascii="宋体" w:hAnsi="宋体" w:eastAsia="宋体" w:cs="宋体"/>
          <w:b/>
          <w:color w:val="000000" w:themeColor="text1"/>
          <w:kern w:val="0"/>
          <w:sz w:val="24"/>
          <w:szCs w:val="24"/>
          <w:lang w:eastAsia="zh-CN"/>
          <w14:textFill>
            <w14:solidFill>
              <w14:schemeClr w14:val="tx1"/>
            </w14:solidFill>
          </w14:textFill>
        </w:rPr>
        <w:t>】</w:t>
      </w:r>
    </w:p>
    <w:tbl>
      <w:tblPr>
        <w:tblStyle w:val="8"/>
        <w:tblpPr w:leftFromText="180" w:rightFromText="180" w:vertAnchor="text" w:horzAnchor="page" w:tblpX="1606" w:tblpY="195"/>
        <w:tblOverlap w:val="never"/>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410"/>
        <w:gridCol w:w="992"/>
        <w:gridCol w:w="993"/>
        <w:gridCol w:w="708"/>
        <w:gridCol w:w="1134"/>
        <w:gridCol w:w="1276"/>
        <w:gridCol w:w="992"/>
        <w:gridCol w:w="1134"/>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106" w:type="dxa"/>
            <w:gridSpan w:val="2"/>
            <w:tcBorders>
              <w:tl2br w:val="single" w:color="auto" w:sz="4" w:space="0"/>
            </w:tcBorders>
            <w:vAlign w:val="bottom"/>
          </w:tcPr>
          <w:p>
            <w:pPr>
              <w:widowControl/>
              <w:spacing w:line="276" w:lineRule="auto"/>
              <w:ind w:firstLine="2040" w:firstLineChars="850"/>
              <w:jc w:val="left"/>
              <w:rPr>
                <w:rFonts w:ascii="宋体" w:hAnsi="宋体" w:eastAsia="宋体" w:cs="宋体"/>
                <w:kern w:val="0"/>
                <w:sz w:val="24"/>
                <w:szCs w:val="24"/>
              </w:rPr>
            </w:pPr>
            <w:r>
              <w:rPr>
                <w:rFonts w:hint="eastAsia" w:ascii="宋体" w:hAnsi="宋体" w:eastAsia="宋体" w:cs="宋体"/>
                <w:kern w:val="0"/>
                <w:sz w:val="24"/>
                <w:szCs w:val="24"/>
              </w:rPr>
              <w:t>教学目标</w:t>
            </w:r>
          </w:p>
          <w:p>
            <w:pPr>
              <w:widowControl/>
              <w:spacing w:line="276" w:lineRule="auto"/>
              <w:ind w:firstLine="840" w:firstLineChars="350"/>
              <w:jc w:val="left"/>
              <w:rPr>
                <w:rFonts w:ascii="宋体" w:hAnsi="宋体" w:eastAsia="宋体" w:cs="宋体"/>
                <w:kern w:val="0"/>
                <w:sz w:val="24"/>
                <w:szCs w:val="24"/>
              </w:rPr>
            </w:pPr>
          </w:p>
          <w:p>
            <w:pPr>
              <w:widowControl/>
              <w:spacing w:line="276" w:lineRule="auto"/>
              <w:ind w:firstLine="960" w:firstLineChars="400"/>
              <w:jc w:val="left"/>
              <w:rPr>
                <w:rFonts w:ascii="宋体" w:hAnsi="宋体" w:eastAsia="宋体" w:cs="宋体"/>
                <w:kern w:val="0"/>
                <w:sz w:val="24"/>
                <w:szCs w:val="24"/>
              </w:rPr>
            </w:pPr>
            <w:r>
              <w:rPr>
                <w:rFonts w:hint="eastAsia" w:ascii="宋体" w:hAnsi="宋体" w:eastAsia="宋体" w:cs="宋体"/>
                <w:kern w:val="0"/>
                <w:sz w:val="24"/>
                <w:szCs w:val="24"/>
              </w:rPr>
              <w:t>学习单元</w:t>
            </w:r>
          </w:p>
        </w:tc>
        <w:tc>
          <w:tcPr>
            <w:tcW w:w="992"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素质1</w:t>
            </w:r>
          </w:p>
        </w:tc>
        <w:tc>
          <w:tcPr>
            <w:tcW w:w="993"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素质2</w:t>
            </w:r>
          </w:p>
        </w:tc>
        <w:tc>
          <w:tcPr>
            <w:tcW w:w="708" w:type="dxa"/>
            <w:vAlign w:val="center"/>
          </w:tcPr>
          <w:p>
            <w:pPr>
              <w:widowControl/>
              <w:spacing w:line="276" w:lineRule="auto"/>
              <w:jc w:val="center"/>
              <w:rPr>
                <w:rFonts w:ascii="宋体" w:hAnsi="宋体" w:eastAsia="宋体" w:cs="宋体"/>
                <w:kern w:val="0"/>
                <w:sz w:val="24"/>
                <w:szCs w:val="24"/>
              </w:rPr>
            </w:pPr>
            <w:r>
              <w:rPr>
                <w:rFonts w:ascii="宋体" w:hAnsi="宋体" w:eastAsia="宋体" w:cs="宋体"/>
                <w:kern w:val="0"/>
                <w:sz w:val="24"/>
                <w:szCs w:val="24"/>
              </w:rPr>
              <w:t>……</w:t>
            </w:r>
          </w:p>
        </w:tc>
        <w:tc>
          <w:tcPr>
            <w:tcW w:w="1134"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知识1</w:t>
            </w:r>
          </w:p>
        </w:tc>
        <w:tc>
          <w:tcPr>
            <w:tcW w:w="1276"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知识2</w:t>
            </w:r>
          </w:p>
        </w:tc>
        <w:tc>
          <w:tcPr>
            <w:tcW w:w="992" w:type="dxa"/>
            <w:vAlign w:val="center"/>
          </w:tcPr>
          <w:p>
            <w:pPr>
              <w:widowControl/>
              <w:spacing w:line="276" w:lineRule="auto"/>
              <w:jc w:val="center"/>
              <w:rPr>
                <w:rFonts w:ascii="宋体" w:hAnsi="宋体" w:eastAsia="宋体" w:cs="宋体"/>
                <w:kern w:val="0"/>
                <w:sz w:val="24"/>
                <w:szCs w:val="24"/>
              </w:rPr>
            </w:pPr>
            <w:r>
              <w:rPr>
                <w:rFonts w:ascii="宋体" w:hAnsi="宋体" w:eastAsia="宋体" w:cs="宋体"/>
                <w:kern w:val="0"/>
                <w:sz w:val="24"/>
                <w:szCs w:val="24"/>
              </w:rPr>
              <w:t>……</w:t>
            </w:r>
          </w:p>
        </w:tc>
        <w:tc>
          <w:tcPr>
            <w:tcW w:w="1134"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能力1</w:t>
            </w:r>
          </w:p>
        </w:tc>
        <w:tc>
          <w:tcPr>
            <w:tcW w:w="1276" w:type="dxa"/>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能力2</w:t>
            </w:r>
          </w:p>
        </w:tc>
        <w:tc>
          <w:tcPr>
            <w:tcW w:w="1276" w:type="dxa"/>
            <w:vAlign w:val="center"/>
          </w:tcPr>
          <w:p>
            <w:pPr>
              <w:widowControl/>
              <w:spacing w:line="276" w:lineRule="auto"/>
              <w:jc w:val="center"/>
              <w:rPr>
                <w:rFonts w:ascii="宋体" w:hAnsi="宋体" w:eastAsia="宋体" w:cs="宋体"/>
                <w:kern w:val="0"/>
                <w:sz w:val="24"/>
                <w:szCs w:val="24"/>
              </w:rPr>
            </w:pPr>
            <w:r>
              <w:rPr>
                <w:rFonts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pPr>
              <w:widowControl/>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学习</w:t>
            </w:r>
            <w:r>
              <w:rPr>
                <w:rFonts w:ascii="宋体" w:hAnsi="宋体" w:eastAsia="宋体" w:cs="宋体"/>
                <w:kern w:val="0"/>
                <w:sz w:val="24"/>
                <w:szCs w:val="24"/>
              </w:rPr>
              <w:t>情境</w:t>
            </w:r>
          </w:p>
        </w:tc>
        <w:tc>
          <w:tcPr>
            <w:tcW w:w="2410" w:type="dxa"/>
            <w:vAlign w:val="center"/>
          </w:tcPr>
          <w:p>
            <w:pPr>
              <w:widowControl/>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学习</w:t>
            </w:r>
            <w:r>
              <w:rPr>
                <w:rFonts w:ascii="宋体" w:hAnsi="宋体" w:eastAsia="宋体" w:cs="宋体"/>
                <w:kern w:val="0"/>
                <w:sz w:val="24"/>
                <w:szCs w:val="24"/>
              </w:rPr>
              <w:t>任务</w:t>
            </w:r>
            <w:r>
              <w:rPr>
                <w:rFonts w:hint="eastAsia" w:ascii="宋体" w:hAnsi="宋体" w:eastAsia="宋体" w:cs="宋体"/>
                <w:kern w:val="0"/>
                <w:sz w:val="24"/>
                <w:szCs w:val="24"/>
              </w:rPr>
              <w:t>/实训</w:t>
            </w:r>
            <w:r>
              <w:rPr>
                <w:rFonts w:ascii="宋体" w:hAnsi="宋体" w:eastAsia="宋体" w:cs="宋体"/>
                <w:kern w:val="0"/>
                <w:sz w:val="24"/>
                <w:szCs w:val="24"/>
              </w:rPr>
              <w:t>项目</w:t>
            </w:r>
          </w:p>
        </w:tc>
        <w:tc>
          <w:tcPr>
            <w:tcW w:w="992" w:type="dxa"/>
          </w:tcPr>
          <w:p>
            <w:pPr>
              <w:widowControl/>
              <w:spacing w:line="276" w:lineRule="auto"/>
              <w:jc w:val="center"/>
              <w:rPr>
                <w:rFonts w:ascii="宋体" w:hAnsi="宋体" w:eastAsia="宋体" w:cs="宋体"/>
                <w:kern w:val="0"/>
                <w:sz w:val="24"/>
                <w:szCs w:val="24"/>
              </w:rPr>
            </w:pPr>
          </w:p>
        </w:tc>
        <w:tc>
          <w:tcPr>
            <w:tcW w:w="993" w:type="dxa"/>
          </w:tcPr>
          <w:p>
            <w:pPr>
              <w:widowControl/>
              <w:spacing w:line="276" w:lineRule="auto"/>
              <w:jc w:val="center"/>
              <w:rPr>
                <w:rFonts w:ascii="宋体" w:hAnsi="宋体" w:eastAsia="宋体" w:cs="宋体"/>
                <w:kern w:val="0"/>
                <w:sz w:val="24"/>
                <w:szCs w:val="24"/>
              </w:rPr>
            </w:pPr>
          </w:p>
        </w:tc>
        <w:tc>
          <w:tcPr>
            <w:tcW w:w="708"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ascii="宋体" w:hAnsi="宋体" w:eastAsia="宋体" w:cs="宋体"/>
                <w:kern w:val="0"/>
                <w:sz w:val="24"/>
                <w:szCs w:val="24"/>
              </w:rPr>
            </w:pPr>
          </w:p>
        </w:tc>
        <w:tc>
          <w:tcPr>
            <w:tcW w:w="1276" w:type="dxa"/>
          </w:tcPr>
          <w:p>
            <w:pPr>
              <w:widowControl/>
              <w:spacing w:line="276" w:lineRule="auto"/>
              <w:jc w:val="center"/>
              <w:rPr>
                <w:rFonts w:ascii="宋体" w:hAnsi="宋体" w:eastAsia="宋体" w:cs="宋体"/>
                <w:kern w:val="0"/>
                <w:sz w:val="24"/>
                <w:szCs w:val="24"/>
              </w:rPr>
            </w:pPr>
          </w:p>
        </w:tc>
        <w:tc>
          <w:tcPr>
            <w:tcW w:w="992"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ascii="宋体" w:hAnsi="宋体" w:eastAsia="宋体" w:cs="宋体"/>
                <w:kern w:val="0"/>
                <w:sz w:val="24"/>
                <w:szCs w:val="24"/>
              </w:rPr>
            </w:pPr>
          </w:p>
        </w:tc>
        <w:tc>
          <w:tcPr>
            <w:tcW w:w="1276" w:type="dxa"/>
          </w:tcPr>
          <w:p>
            <w:pPr>
              <w:widowControl/>
              <w:spacing w:line="276" w:lineRule="auto"/>
              <w:jc w:val="center"/>
              <w:rPr>
                <w:rFonts w:ascii="宋体" w:hAnsi="宋体" w:eastAsia="宋体" w:cs="宋体"/>
                <w:kern w:val="0"/>
                <w:sz w:val="24"/>
                <w:szCs w:val="24"/>
              </w:rPr>
            </w:pPr>
          </w:p>
        </w:tc>
        <w:tc>
          <w:tcPr>
            <w:tcW w:w="1276" w:type="dxa"/>
          </w:tcPr>
          <w:p>
            <w:pPr>
              <w:widowControl/>
              <w:spacing w:line="276"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96" w:type="dxa"/>
            <w:vMerge w:val="restart"/>
            <w:vAlign w:val="center"/>
          </w:tcPr>
          <w:p>
            <w:pPr>
              <w:widowControl/>
              <w:spacing w:line="276"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示例</w:t>
            </w:r>
            <w:r>
              <w:rPr>
                <w:rFonts w:hint="eastAsia" w:ascii="宋体" w:hAnsi="宋体" w:eastAsia="宋体" w:cs="宋体"/>
                <w:kern w:val="0"/>
                <w:sz w:val="24"/>
                <w:szCs w:val="24"/>
                <w:lang w:eastAsia="zh-CN"/>
              </w:rPr>
              <w:t>）</w:t>
            </w:r>
          </w:p>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法学基本要素</w:t>
            </w:r>
          </w:p>
        </w:tc>
        <w:tc>
          <w:tcPr>
            <w:tcW w:w="2410" w:type="dxa"/>
            <w:vAlign w:val="center"/>
          </w:tcPr>
          <w:p>
            <w:pPr>
              <w:widowControl/>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法律规范与</w:t>
            </w:r>
            <w:r>
              <w:rPr>
                <w:rFonts w:ascii="宋体" w:hAnsi="宋体" w:eastAsia="宋体" w:cs="宋体"/>
                <w:kern w:val="0"/>
                <w:sz w:val="24"/>
                <w:szCs w:val="24"/>
              </w:rPr>
              <w:t>法律关系</w:t>
            </w:r>
          </w:p>
        </w:tc>
        <w:tc>
          <w:tcPr>
            <w:tcW w:w="992"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H</w:t>
            </w:r>
          </w:p>
        </w:tc>
        <w:tc>
          <w:tcPr>
            <w:tcW w:w="993"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M</w:t>
            </w:r>
          </w:p>
        </w:tc>
        <w:tc>
          <w:tcPr>
            <w:tcW w:w="708"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H</w:t>
            </w:r>
          </w:p>
        </w:tc>
        <w:tc>
          <w:tcPr>
            <w:tcW w:w="1276"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M</w:t>
            </w:r>
          </w:p>
        </w:tc>
        <w:tc>
          <w:tcPr>
            <w:tcW w:w="992"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ascii="宋体" w:hAnsi="宋体" w:eastAsia="宋体" w:cs="宋体"/>
                <w:b/>
                <w:kern w:val="0"/>
                <w:sz w:val="28"/>
                <w:szCs w:val="28"/>
              </w:rPr>
            </w:pPr>
            <w:r>
              <w:rPr>
                <w:rFonts w:ascii="宋体" w:hAnsi="宋体" w:eastAsia="宋体" w:cs="宋体"/>
                <w:b/>
                <w:kern w:val="0"/>
                <w:sz w:val="28"/>
                <w:szCs w:val="28"/>
              </w:rPr>
              <w:t>M</w:t>
            </w:r>
          </w:p>
        </w:tc>
        <w:tc>
          <w:tcPr>
            <w:tcW w:w="1276"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H</w:t>
            </w:r>
          </w:p>
        </w:tc>
        <w:tc>
          <w:tcPr>
            <w:tcW w:w="1276" w:type="dxa"/>
          </w:tcPr>
          <w:p>
            <w:pPr>
              <w:widowControl/>
              <w:spacing w:line="276"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vMerge w:val="continue"/>
            <w:vAlign w:val="center"/>
          </w:tcPr>
          <w:p>
            <w:pPr>
              <w:widowControl/>
              <w:spacing w:line="276" w:lineRule="auto"/>
              <w:jc w:val="center"/>
              <w:rPr>
                <w:rFonts w:hint="eastAsia" w:ascii="宋体" w:hAnsi="宋体" w:eastAsia="宋体" w:cs="宋体"/>
                <w:kern w:val="0"/>
                <w:sz w:val="24"/>
                <w:szCs w:val="24"/>
              </w:rPr>
            </w:pPr>
          </w:p>
        </w:tc>
        <w:tc>
          <w:tcPr>
            <w:tcW w:w="2410" w:type="dxa"/>
            <w:vAlign w:val="center"/>
          </w:tcPr>
          <w:p>
            <w:pPr>
              <w:widowControl/>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法律行为</w:t>
            </w:r>
          </w:p>
        </w:tc>
        <w:tc>
          <w:tcPr>
            <w:tcW w:w="992" w:type="dxa"/>
          </w:tcPr>
          <w:p>
            <w:pPr>
              <w:widowControl/>
              <w:spacing w:line="276"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M</w:t>
            </w:r>
          </w:p>
        </w:tc>
        <w:tc>
          <w:tcPr>
            <w:tcW w:w="993" w:type="dxa"/>
          </w:tcPr>
          <w:p>
            <w:pPr>
              <w:widowControl/>
              <w:spacing w:line="276"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L</w:t>
            </w:r>
          </w:p>
        </w:tc>
        <w:tc>
          <w:tcPr>
            <w:tcW w:w="708"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hint="eastAsia" w:ascii="宋体" w:hAnsi="宋体" w:eastAsia="宋体" w:cs="宋体"/>
                <w:b/>
                <w:kern w:val="0"/>
                <w:sz w:val="28"/>
                <w:szCs w:val="28"/>
              </w:rPr>
            </w:pPr>
            <w:r>
              <w:rPr>
                <w:rFonts w:ascii="宋体" w:hAnsi="宋体" w:eastAsia="宋体" w:cs="宋体"/>
                <w:b/>
                <w:kern w:val="0"/>
                <w:sz w:val="28"/>
                <w:szCs w:val="28"/>
              </w:rPr>
              <w:t>M</w:t>
            </w:r>
          </w:p>
        </w:tc>
        <w:tc>
          <w:tcPr>
            <w:tcW w:w="1276" w:type="dxa"/>
          </w:tcPr>
          <w:p>
            <w:pPr>
              <w:widowControl/>
              <w:spacing w:line="276"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H</w:t>
            </w:r>
          </w:p>
        </w:tc>
        <w:tc>
          <w:tcPr>
            <w:tcW w:w="992" w:type="dxa"/>
          </w:tcPr>
          <w:p>
            <w:pPr>
              <w:widowControl/>
              <w:spacing w:line="276" w:lineRule="auto"/>
              <w:jc w:val="center"/>
              <w:rPr>
                <w:rFonts w:ascii="宋体" w:hAnsi="宋体" w:eastAsia="宋体" w:cs="宋体"/>
                <w:kern w:val="0"/>
                <w:sz w:val="24"/>
                <w:szCs w:val="24"/>
              </w:rPr>
            </w:pPr>
          </w:p>
        </w:tc>
        <w:tc>
          <w:tcPr>
            <w:tcW w:w="1134" w:type="dxa"/>
          </w:tcPr>
          <w:p>
            <w:pPr>
              <w:widowControl/>
              <w:spacing w:line="276" w:lineRule="auto"/>
              <w:jc w:val="center"/>
              <w:rPr>
                <w:rFonts w:ascii="宋体" w:hAnsi="宋体" w:eastAsia="宋体" w:cs="宋体"/>
                <w:b/>
                <w:kern w:val="0"/>
                <w:sz w:val="28"/>
                <w:szCs w:val="28"/>
              </w:rPr>
            </w:pPr>
            <w:r>
              <w:rPr>
                <w:rFonts w:hint="eastAsia" w:ascii="宋体" w:hAnsi="宋体" w:eastAsia="宋体" w:cs="宋体"/>
                <w:b/>
                <w:kern w:val="0"/>
                <w:sz w:val="28"/>
                <w:szCs w:val="28"/>
              </w:rPr>
              <w:t>H</w:t>
            </w:r>
          </w:p>
        </w:tc>
        <w:tc>
          <w:tcPr>
            <w:tcW w:w="1276" w:type="dxa"/>
          </w:tcPr>
          <w:p>
            <w:pPr>
              <w:widowControl/>
              <w:spacing w:line="276"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M</w:t>
            </w:r>
          </w:p>
        </w:tc>
        <w:tc>
          <w:tcPr>
            <w:tcW w:w="1276" w:type="dxa"/>
          </w:tcPr>
          <w:p>
            <w:pPr>
              <w:widowControl/>
              <w:spacing w:line="276"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widowControl/>
              <w:spacing w:line="276" w:lineRule="auto"/>
              <w:jc w:val="center"/>
              <w:rPr>
                <w:rFonts w:hint="eastAsia" w:ascii="宋体" w:hAnsi="宋体" w:eastAsia="宋体" w:cs="宋体"/>
                <w:kern w:val="0"/>
                <w:sz w:val="24"/>
                <w:szCs w:val="24"/>
              </w:rPr>
            </w:pPr>
            <w:r>
              <w:rPr>
                <w:rFonts w:ascii="宋体" w:hAnsi="宋体" w:eastAsia="宋体" w:cs="宋体"/>
                <w:kern w:val="0"/>
                <w:sz w:val="24"/>
                <w:szCs w:val="24"/>
              </w:rPr>
              <w:t>……</w:t>
            </w:r>
          </w:p>
        </w:tc>
        <w:tc>
          <w:tcPr>
            <w:tcW w:w="2410" w:type="dxa"/>
          </w:tcPr>
          <w:p>
            <w:pPr>
              <w:jc w:val="cente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993" w:type="dxa"/>
          </w:tcPr>
          <w:p>
            <w:pPr>
              <w:jc w:val="center"/>
            </w:pPr>
            <w:r>
              <w:rPr>
                <w:rFonts w:ascii="宋体" w:hAnsi="宋体" w:eastAsia="宋体" w:cs="宋体"/>
                <w:kern w:val="0"/>
                <w:sz w:val="24"/>
                <w:szCs w:val="24"/>
              </w:rPr>
              <w:t>……</w:t>
            </w:r>
          </w:p>
        </w:tc>
        <w:tc>
          <w:tcPr>
            <w:tcW w:w="708" w:type="dxa"/>
          </w:tcPr>
          <w:p>
            <w:pPr>
              <w:jc w:val="center"/>
            </w:pPr>
            <w:r>
              <w:rPr>
                <w:rFonts w:ascii="宋体" w:hAnsi="宋体" w:eastAsia="宋体" w:cs="宋体"/>
                <w:kern w:val="0"/>
                <w:sz w:val="24"/>
                <w:szCs w:val="24"/>
              </w:rPr>
              <w:t>……</w:t>
            </w:r>
          </w:p>
        </w:tc>
        <w:tc>
          <w:tcPr>
            <w:tcW w:w="1134" w:type="dxa"/>
          </w:tcPr>
          <w:p>
            <w:pPr>
              <w:jc w:val="center"/>
            </w:pPr>
            <w:r>
              <w:rPr>
                <w:rFonts w:ascii="宋体" w:hAnsi="宋体" w:eastAsia="宋体" w:cs="宋体"/>
                <w:kern w:val="0"/>
                <w:sz w:val="24"/>
                <w:szCs w:val="24"/>
              </w:rPr>
              <w:t>……</w:t>
            </w:r>
          </w:p>
        </w:tc>
        <w:tc>
          <w:tcPr>
            <w:tcW w:w="1276" w:type="dxa"/>
          </w:tcPr>
          <w:p>
            <w:pPr>
              <w:jc w:val="center"/>
            </w:pPr>
            <w:r>
              <w:rPr>
                <w:rFonts w:ascii="宋体" w:hAnsi="宋体" w:eastAsia="宋体" w:cs="宋体"/>
                <w:kern w:val="0"/>
                <w:sz w:val="24"/>
                <w:szCs w:val="24"/>
              </w:rPr>
              <w:t>……</w:t>
            </w:r>
          </w:p>
        </w:tc>
        <w:tc>
          <w:tcPr>
            <w:tcW w:w="992" w:type="dxa"/>
          </w:tcPr>
          <w:p>
            <w:pPr>
              <w:jc w:val="center"/>
            </w:pPr>
            <w:r>
              <w:rPr>
                <w:rFonts w:ascii="宋体" w:hAnsi="宋体" w:eastAsia="宋体" w:cs="宋体"/>
                <w:kern w:val="0"/>
                <w:sz w:val="24"/>
                <w:szCs w:val="24"/>
              </w:rPr>
              <w:t>……</w:t>
            </w:r>
          </w:p>
        </w:tc>
        <w:tc>
          <w:tcPr>
            <w:tcW w:w="1134" w:type="dxa"/>
          </w:tcPr>
          <w:p>
            <w:pPr>
              <w:jc w:val="center"/>
            </w:pPr>
            <w:r>
              <w:rPr>
                <w:rFonts w:ascii="宋体" w:hAnsi="宋体" w:eastAsia="宋体" w:cs="宋体"/>
                <w:kern w:val="0"/>
                <w:sz w:val="24"/>
                <w:szCs w:val="24"/>
              </w:rPr>
              <w:t>……</w:t>
            </w:r>
          </w:p>
        </w:tc>
        <w:tc>
          <w:tcPr>
            <w:tcW w:w="1276" w:type="dxa"/>
          </w:tcPr>
          <w:p>
            <w:pPr>
              <w:jc w:val="center"/>
            </w:pPr>
            <w:r>
              <w:rPr>
                <w:rFonts w:ascii="宋体" w:hAnsi="宋体" w:eastAsia="宋体" w:cs="宋体"/>
                <w:kern w:val="0"/>
                <w:sz w:val="24"/>
                <w:szCs w:val="24"/>
              </w:rPr>
              <w:t>……</w:t>
            </w:r>
          </w:p>
        </w:tc>
        <w:tc>
          <w:tcPr>
            <w:tcW w:w="1276" w:type="dxa"/>
          </w:tcPr>
          <w:p>
            <w:pPr>
              <w:jc w:val="center"/>
            </w:pPr>
            <w:r>
              <w:rPr>
                <w:rFonts w:ascii="宋体" w:hAnsi="宋体" w:eastAsia="宋体" w:cs="宋体"/>
                <w:kern w:val="0"/>
                <w:sz w:val="24"/>
                <w:szCs w:val="24"/>
              </w:rPr>
              <w:t>……</w:t>
            </w:r>
          </w:p>
        </w:tc>
      </w:tr>
    </w:tbl>
    <w:p>
      <w:pPr>
        <w:widowControl/>
        <w:spacing w:line="276" w:lineRule="auto"/>
        <w:ind w:firstLine="480" w:firstLineChars="200"/>
        <w:jc w:val="left"/>
        <w:rPr>
          <w:rFonts w:hint="eastAsia"/>
          <w:sz w:val="28"/>
          <w:szCs w:val="28"/>
        </w:rPr>
      </w:pPr>
      <w:r>
        <w:rPr>
          <w:rFonts w:hint="eastAsia" w:ascii="宋体" w:hAnsi="宋体" w:eastAsia="宋体" w:cs="宋体"/>
          <w:b/>
          <w:color w:val="FF0000"/>
          <w:kern w:val="0"/>
          <w:sz w:val="24"/>
          <w:szCs w:val="24"/>
          <w:lang w:val="en-US" w:eastAsia="zh-CN"/>
        </w:rPr>
        <w:t>注</w:t>
      </w:r>
      <w:r>
        <w:rPr>
          <w:rFonts w:ascii="宋体" w:hAnsi="宋体" w:eastAsia="宋体" w:cs="宋体"/>
          <w:b/>
          <w:color w:val="FF0000"/>
          <w:kern w:val="0"/>
          <w:sz w:val="24"/>
          <w:szCs w:val="24"/>
        </w:rPr>
        <w:t>：</w:t>
      </w:r>
      <w:r>
        <w:rPr>
          <w:rFonts w:hint="eastAsia" w:ascii="宋体" w:hAnsi="宋体" w:eastAsia="宋体" w:cs="宋体"/>
          <w:b/>
          <w:color w:val="FF0000"/>
          <w:kern w:val="0"/>
          <w:sz w:val="24"/>
          <w:szCs w:val="24"/>
        </w:rPr>
        <w:t>请各</w:t>
      </w:r>
      <w:r>
        <w:rPr>
          <w:rFonts w:ascii="宋体" w:hAnsi="宋体" w:eastAsia="宋体" w:cs="宋体"/>
          <w:b/>
          <w:color w:val="FF0000"/>
          <w:kern w:val="0"/>
          <w:sz w:val="24"/>
          <w:szCs w:val="24"/>
        </w:rPr>
        <w:t>专业依据</w:t>
      </w:r>
      <w:r>
        <w:rPr>
          <w:rFonts w:hint="eastAsia" w:ascii="宋体" w:hAnsi="宋体" w:eastAsia="宋体" w:cs="宋体"/>
          <w:b/>
          <w:color w:val="FF0000"/>
          <w:kern w:val="0"/>
          <w:sz w:val="24"/>
          <w:szCs w:val="24"/>
        </w:rPr>
        <w:t>2022版</w:t>
      </w:r>
      <w:r>
        <w:rPr>
          <w:rFonts w:ascii="宋体" w:hAnsi="宋体" w:eastAsia="宋体" w:cs="宋体"/>
          <w:b/>
          <w:color w:val="FF0000"/>
          <w:kern w:val="0"/>
          <w:sz w:val="24"/>
          <w:szCs w:val="24"/>
        </w:rPr>
        <w:t>人才培养方案对素质、知识、能力要求进行整合，</w:t>
      </w:r>
      <w:r>
        <w:rPr>
          <w:rFonts w:hint="eastAsia" w:ascii="宋体" w:hAnsi="宋体" w:eastAsia="宋体" w:cs="宋体"/>
          <w:b/>
          <w:color w:val="FF0000"/>
          <w:kern w:val="0"/>
          <w:sz w:val="24"/>
          <w:szCs w:val="24"/>
        </w:rPr>
        <w:t>重点体现</w:t>
      </w:r>
      <w:r>
        <w:rPr>
          <w:rFonts w:ascii="宋体" w:hAnsi="宋体" w:eastAsia="宋体" w:cs="宋体"/>
          <w:b/>
          <w:color w:val="FF0000"/>
          <w:kern w:val="0"/>
          <w:sz w:val="24"/>
          <w:szCs w:val="24"/>
        </w:rPr>
        <w:t>专业特色</w:t>
      </w:r>
      <w:r>
        <w:rPr>
          <w:rFonts w:hint="eastAsia" w:ascii="宋体" w:hAnsi="宋体" w:eastAsia="宋体" w:cs="宋体"/>
          <w:b/>
          <w:color w:val="FF0000"/>
          <w:kern w:val="0"/>
          <w:sz w:val="24"/>
          <w:szCs w:val="24"/>
          <w:lang w:val="en-US" w:eastAsia="zh-CN"/>
        </w:rPr>
        <w:t>和课程特征</w:t>
      </w:r>
      <w:r>
        <w:rPr>
          <w:rFonts w:ascii="宋体" w:hAnsi="宋体" w:eastAsia="宋体" w:cs="宋体"/>
          <w:b/>
          <w:color w:val="FF0000"/>
          <w:kern w:val="0"/>
          <w:sz w:val="24"/>
          <w:szCs w:val="24"/>
        </w:rPr>
        <w:t>，每一项控制在</w:t>
      </w:r>
      <w:r>
        <w:rPr>
          <w:rFonts w:hint="eastAsia" w:ascii="宋体" w:hAnsi="宋体" w:eastAsia="宋体" w:cs="宋体"/>
          <w:b/>
          <w:color w:val="FF0000"/>
          <w:kern w:val="0"/>
          <w:sz w:val="24"/>
          <w:szCs w:val="24"/>
          <w:lang w:val="en-US" w:eastAsia="zh-CN"/>
        </w:rPr>
        <w:t>2-4</w:t>
      </w:r>
      <w:r>
        <w:rPr>
          <w:rFonts w:hint="eastAsia" w:ascii="宋体" w:hAnsi="宋体" w:eastAsia="宋体" w:cs="宋体"/>
          <w:b/>
          <w:color w:val="FF0000"/>
          <w:kern w:val="0"/>
          <w:sz w:val="24"/>
          <w:szCs w:val="24"/>
        </w:rPr>
        <w:t>个为佳</w:t>
      </w:r>
      <w:r>
        <w:rPr>
          <w:rFonts w:ascii="宋体" w:hAnsi="宋体" w:eastAsia="宋体" w:cs="宋体"/>
          <w:b/>
          <w:color w:val="FF0000"/>
          <w:kern w:val="0"/>
          <w:sz w:val="24"/>
          <w:szCs w:val="24"/>
        </w:rPr>
        <w:t>。</w:t>
      </w:r>
    </w:p>
    <w:sectPr>
      <w:pgSz w:w="16838" w:h="11906" w:orient="landscape"/>
      <w:pgMar w:top="1440" w:right="1080" w:bottom="1440" w:left="108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8129121"/>
    </w:sdtPr>
    <w:sdtContent>
      <w:sdt>
        <w:sdtPr>
          <w:id w:val="-1769616900"/>
        </w:sdtPr>
        <w:sdtContent>
          <w:p>
            <w:pPr>
              <w:pStyle w:val="4"/>
              <w:jc w:val="right"/>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C90170"/>
    <w:multiLevelType w:val="multilevel"/>
    <w:tmpl w:val="27C90170"/>
    <w:lvl w:ilvl="0" w:tentative="0">
      <w:start w:val="1"/>
      <w:numFmt w:val="decimalEnclosedCircle"/>
      <w:lvlText w:val="%1"/>
      <w:lvlJc w:val="left"/>
      <w:pPr>
        <w:ind w:left="842" w:hanging="360"/>
      </w:pPr>
      <w:rPr>
        <w:rFonts w:hint="default" w:asciiTheme="minorHAnsi" w:hAnsiTheme="minorHAnsi" w:eastAsiaTheme="minorEastAsia" w:cstheme="minorBidi"/>
        <w:b/>
        <w:color w:val="000000" w:themeColor="text1"/>
        <w14:textFill>
          <w14:solidFill>
            <w14:schemeClr w14:val="tx1"/>
          </w14:solidFill>
        </w14:textFill>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xNmUyN2M1NDExYWQ2NTIwYWUyZTMzYWRkNjUxZDMifQ=="/>
  </w:docVars>
  <w:rsids>
    <w:rsidRoot w:val="00593D6F"/>
    <w:rsid w:val="000054D2"/>
    <w:rsid w:val="0001116B"/>
    <w:rsid w:val="00015F2A"/>
    <w:rsid w:val="000166FB"/>
    <w:rsid w:val="0002442B"/>
    <w:rsid w:val="000255D9"/>
    <w:rsid w:val="0002627E"/>
    <w:rsid w:val="0003683D"/>
    <w:rsid w:val="0005208D"/>
    <w:rsid w:val="00054B61"/>
    <w:rsid w:val="000656B7"/>
    <w:rsid w:val="00076D3D"/>
    <w:rsid w:val="00080479"/>
    <w:rsid w:val="000816E2"/>
    <w:rsid w:val="00082151"/>
    <w:rsid w:val="000836B9"/>
    <w:rsid w:val="000A2B09"/>
    <w:rsid w:val="000A2D66"/>
    <w:rsid w:val="000A49A3"/>
    <w:rsid w:val="000A7426"/>
    <w:rsid w:val="000B3A7D"/>
    <w:rsid w:val="000B4B45"/>
    <w:rsid w:val="000B76DB"/>
    <w:rsid w:val="000B7C26"/>
    <w:rsid w:val="000C272F"/>
    <w:rsid w:val="000C7A1F"/>
    <w:rsid w:val="000D2DB8"/>
    <w:rsid w:val="000D385F"/>
    <w:rsid w:val="000D6450"/>
    <w:rsid w:val="000E6432"/>
    <w:rsid w:val="000F2E7D"/>
    <w:rsid w:val="001103DA"/>
    <w:rsid w:val="00113529"/>
    <w:rsid w:val="00114A5A"/>
    <w:rsid w:val="00126F3E"/>
    <w:rsid w:val="00127D9B"/>
    <w:rsid w:val="001315C8"/>
    <w:rsid w:val="00132B84"/>
    <w:rsid w:val="001335A1"/>
    <w:rsid w:val="0013371D"/>
    <w:rsid w:val="00136676"/>
    <w:rsid w:val="0014320A"/>
    <w:rsid w:val="00143354"/>
    <w:rsid w:val="0014372B"/>
    <w:rsid w:val="00152594"/>
    <w:rsid w:val="00154190"/>
    <w:rsid w:val="00155F4B"/>
    <w:rsid w:val="00160662"/>
    <w:rsid w:val="00161435"/>
    <w:rsid w:val="001711A7"/>
    <w:rsid w:val="00181E8A"/>
    <w:rsid w:val="00181FD3"/>
    <w:rsid w:val="00184CC3"/>
    <w:rsid w:val="001909B6"/>
    <w:rsid w:val="001A0B96"/>
    <w:rsid w:val="001B3F41"/>
    <w:rsid w:val="001B4167"/>
    <w:rsid w:val="001D31B1"/>
    <w:rsid w:val="001D74EA"/>
    <w:rsid w:val="001D78D3"/>
    <w:rsid w:val="001E4092"/>
    <w:rsid w:val="001F1CFA"/>
    <w:rsid w:val="001F590D"/>
    <w:rsid w:val="001F5F2A"/>
    <w:rsid w:val="00200F84"/>
    <w:rsid w:val="00206894"/>
    <w:rsid w:val="00217116"/>
    <w:rsid w:val="00220E5C"/>
    <w:rsid w:val="002240CA"/>
    <w:rsid w:val="0023460F"/>
    <w:rsid w:val="00237448"/>
    <w:rsid w:val="00246EAA"/>
    <w:rsid w:val="0025450F"/>
    <w:rsid w:val="00254E67"/>
    <w:rsid w:val="00263236"/>
    <w:rsid w:val="002658AC"/>
    <w:rsid w:val="00265DA4"/>
    <w:rsid w:val="00273ACC"/>
    <w:rsid w:val="00284C30"/>
    <w:rsid w:val="0028735D"/>
    <w:rsid w:val="00294C65"/>
    <w:rsid w:val="00295F03"/>
    <w:rsid w:val="00296DDD"/>
    <w:rsid w:val="002A0B76"/>
    <w:rsid w:val="002A0E9D"/>
    <w:rsid w:val="002A2AC7"/>
    <w:rsid w:val="002A445B"/>
    <w:rsid w:val="002B0C58"/>
    <w:rsid w:val="002B1CCF"/>
    <w:rsid w:val="002C17E9"/>
    <w:rsid w:val="002C3CD8"/>
    <w:rsid w:val="002C51BD"/>
    <w:rsid w:val="002D171F"/>
    <w:rsid w:val="002D3106"/>
    <w:rsid w:val="002D5FCB"/>
    <w:rsid w:val="002D6FE7"/>
    <w:rsid w:val="002D79B2"/>
    <w:rsid w:val="002D7FC1"/>
    <w:rsid w:val="002E11D7"/>
    <w:rsid w:val="002E3501"/>
    <w:rsid w:val="002E5513"/>
    <w:rsid w:val="00300703"/>
    <w:rsid w:val="00306B82"/>
    <w:rsid w:val="00312A22"/>
    <w:rsid w:val="00327672"/>
    <w:rsid w:val="003359AC"/>
    <w:rsid w:val="003460FF"/>
    <w:rsid w:val="00346DA7"/>
    <w:rsid w:val="003478C3"/>
    <w:rsid w:val="003514A6"/>
    <w:rsid w:val="0036389D"/>
    <w:rsid w:val="00363FF1"/>
    <w:rsid w:val="00364CE2"/>
    <w:rsid w:val="003720DE"/>
    <w:rsid w:val="00376682"/>
    <w:rsid w:val="00390D21"/>
    <w:rsid w:val="003925A2"/>
    <w:rsid w:val="003A0224"/>
    <w:rsid w:val="003A03E5"/>
    <w:rsid w:val="003A3C7B"/>
    <w:rsid w:val="003A49F6"/>
    <w:rsid w:val="003B370F"/>
    <w:rsid w:val="003C18FB"/>
    <w:rsid w:val="003C5AA9"/>
    <w:rsid w:val="003C6896"/>
    <w:rsid w:val="003D1FA0"/>
    <w:rsid w:val="003D2239"/>
    <w:rsid w:val="003D5250"/>
    <w:rsid w:val="003E6511"/>
    <w:rsid w:val="003F7CA1"/>
    <w:rsid w:val="00401602"/>
    <w:rsid w:val="004022DF"/>
    <w:rsid w:val="00403CAD"/>
    <w:rsid w:val="004046B9"/>
    <w:rsid w:val="00404E18"/>
    <w:rsid w:val="00405550"/>
    <w:rsid w:val="00405C0E"/>
    <w:rsid w:val="0041528D"/>
    <w:rsid w:val="00415913"/>
    <w:rsid w:val="00423E4D"/>
    <w:rsid w:val="0042709E"/>
    <w:rsid w:val="00441785"/>
    <w:rsid w:val="00441E23"/>
    <w:rsid w:val="00445D48"/>
    <w:rsid w:val="00445F44"/>
    <w:rsid w:val="0044679A"/>
    <w:rsid w:val="0045244B"/>
    <w:rsid w:val="0045465C"/>
    <w:rsid w:val="004603F2"/>
    <w:rsid w:val="00461994"/>
    <w:rsid w:val="00461F4A"/>
    <w:rsid w:val="00473200"/>
    <w:rsid w:val="004744B4"/>
    <w:rsid w:val="00475047"/>
    <w:rsid w:val="004769F0"/>
    <w:rsid w:val="00481A84"/>
    <w:rsid w:val="00483021"/>
    <w:rsid w:val="004849F4"/>
    <w:rsid w:val="00491BC3"/>
    <w:rsid w:val="00493A48"/>
    <w:rsid w:val="00494BF6"/>
    <w:rsid w:val="00496566"/>
    <w:rsid w:val="004A39B7"/>
    <w:rsid w:val="004A6202"/>
    <w:rsid w:val="004B5B7C"/>
    <w:rsid w:val="004B5D46"/>
    <w:rsid w:val="004B5DDC"/>
    <w:rsid w:val="004C0A56"/>
    <w:rsid w:val="004C785F"/>
    <w:rsid w:val="004D5457"/>
    <w:rsid w:val="004D65C1"/>
    <w:rsid w:val="004F0A2B"/>
    <w:rsid w:val="004F0EF6"/>
    <w:rsid w:val="00503E5D"/>
    <w:rsid w:val="00505CAC"/>
    <w:rsid w:val="00506FE8"/>
    <w:rsid w:val="00512879"/>
    <w:rsid w:val="00513B3F"/>
    <w:rsid w:val="00517382"/>
    <w:rsid w:val="00521D86"/>
    <w:rsid w:val="00523D4E"/>
    <w:rsid w:val="00527162"/>
    <w:rsid w:val="005323A9"/>
    <w:rsid w:val="00532725"/>
    <w:rsid w:val="00536896"/>
    <w:rsid w:val="00543DC6"/>
    <w:rsid w:val="00544BBA"/>
    <w:rsid w:val="00551D61"/>
    <w:rsid w:val="00551F2D"/>
    <w:rsid w:val="00557992"/>
    <w:rsid w:val="00561139"/>
    <w:rsid w:val="0056368D"/>
    <w:rsid w:val="00564F8F"/>
    <w:rsid w:val="005651BF"/>
    <w:rsid w:val="00571E31"/>
    <w:rsid w:val="00572766"/>
    <w:rsid w:val="00576AF7"/>
    <w:rsid w:val="00580713"/>
    <w:rsid w:val="0058252F"/>
    <w:rsid w:val="0058350C"/>
    <w:rsid w:val="005933FA"/>
    <w:rsid w:val="00593D6F"/>
    <w:rsid w:val="005A0937"/>
    <w:rsid w:val="005A253E"/>
    <w:rsid w:val="005A32C0"/>
    <w:rsid w:val="005B1DCB"/>
    <w:rsid w:val="005B74D2"/>
    <w:rsid w:val="005C2712"/>
    <w:rsid w:val="005C4325"/>
    <w:rsid w:val="005C67D3"/>
    <w:rsid w:val="005D5687"/>
    <w:rsid w:val="005D5F5A"/>
    <w:rsid w:val="005D6D2F"/>
    <w:rsid w:val="005E08F1"/>
    <w:rsid w:val="005E4B55"/>
    <w:rsid w:val="005F1ADF"/>
    <w:rsid w:val="005F5B2B"/>
    <w:rsid w:val="00606B6D"/>
    <w:rsid w:val="0061018F"/>
    <w:rsid w:val="00623266"/>
    <w:rsid w:val="00626D68"/>
    <w:rsid w:val="006349F6"/>
    <w:rsid w:val="006454D3"/>
    <w:rsid w:val="00650AFC"/>
    <w:rsid w:val="00653658"/>
    <w:rsid w:val="00654EF6"/>
    <w:rsid w:val="00657FA7"/>
    <w:rsid w:val="0066028D"/>
    <w:rsid w:val="006659B4"/>
    <w:rsid w:val="00666E06"/>
    <w:rsid w:val="006709C2"/>
    <w:rsid w:val="00670B48"/>
    <w:rsid w:val="00672D4B"/>
    <w:rsid w:val="00674F7D"/>
    <w:rsid w:val="00676E99"/>
    <w:rsid w:val="00684BD1"/>
    <w:rsid w:val="00691C03"/>
    <w:rsid w:val="006B2191"/>
    <w:rsid w:val="006C5C32"/>
    <w:rsid w:val="006D35BC"/>
    <w:rsid w:val="006E7D8D"/>
    <w:rsid w:val="006F21B5"/>
    <w:rsid w:val="0071140F"/>
    <w:rsid w:val="0071559A"/>
    <w:rsid w:val="00716572"/>
    <w:rsid w:val="00717DD1"/>
    <w:rsid w:val="00722E67"/>
    <w:rsid w:val="00723CF9"/>
    <w:rsid w:val="00724BDF"/>
    <w:rsid w:val="00742D3C"/>
    <w:rsid w:val="00745716"/>
    <w:rsid w:val="00746420"/>
    <w:rsid w:val="00751593"/>
    <w:rsid w:val="007576B4"/>
    <w:rsid w:val="00762C18"/>
    <w:rsid w:val="00774F86"/>
    <w:rsid w:val="00776FED"/>
    <w:rsid w:val="00777357"/>
    <w:rsid w:val="00783806"/>
    <w:rsid w:val="007847E8"/>
    <w:rsid w:val="0078486A"/>
    <w:rsid w:val="0078679C"/>
    <w:rsid w:val="007C0165"/>
    <w:rsid w:val="007C6D7F"/>
    <w:rsid w:val="007D2A24"/>
    <w:rsid w:val="007D4C7C"/>
    <w:rsid w:val="007D5E27"/>
    <w:rsid w:val="007E01A1"/>
    <w:rsid w:val="008022E9"/>
    <w:rsid w:val="00806C9A"/>
    <w:rsid w:val="00807694"/>
    <w:rsid w:val="008137EC"/>
    <w:rsid w:val="00821FA0"/>
    <w:rsid w:val="008222C1"/>
    <w:rsid w:val="008343C0"/>
    <w:rsid w:val="0083486E"/>
    <w:rsid w:val="00835192"/>
    <w:rsid w:val="008361CD"/>
    <w:rsid w:val="0084123A"/>
    <w:rsid w:val="008414D9"/>
    <w:rsid w:val="0084487A"/>
    <w:rsid w:val="00851A9A"/>
    <w:rsid w:val="008554AE"/>
    <w:rsid w:val="00865D9A"/>
    <w:rsid w:val="008700A8"/>
    <w:rsid w:val="008702AA"/>
    <w:rsid w:val="00870B3F"/>
    <w:rsid w:val="00876DAB"/>
    <w:rsid w:val="008814B7"/>
    <w:rsid w:val="00881997"/>
    <w:rsid w:val="00882D35"/>
    <w:rsid w:val="00885204"/>
    <w:rsid w:val="00885C2E"/>
    <w:rsid w:val="00885DA2"/>
    <w:rsid w:val="00886B8D"/>
    <w:rsid w:val="00891E93"/>
    <w:rsid w:val="00893A7F"/>
    <w:rsid w:val="00897AD9"/>
    <w:rsid w:val="008A0A37"/>
    <w:rsid w:val="008A2A16"/>
    <w:rsid w:val="008B085A"/>
    <w:rsid w:val="008B3B82"/>
    <w:rsid w:val="008B6168"/>
    <w:rsid w:val="008B71BA"/>
    <w:rsid w:val="008C3B81"/>
    <w:rsid w:val="008C412C"/>
    <w:rsid w:val="008C4E21"/>
    <w:rsid w:val="008C59F3"/>
    <w:rsid w:val="008C69AE"/>
    <w:rsid w:val="008D5011"/>
    <w:rsid w:val="008D629B"/>
    <w:rsid w:val="008D7B50"/>
    <w:rsid w:val="008E2234"/>
    <w:rsid w:val="008E6046"/>
    <w:rsid w:val="008E6642"/>
    <w:rsid w:val="008F0D80"/>
    <w:rsid w:val="008F2403"/>
    <w:rsid w:val="00916234"/>
    <w:rsid w:val="00916297"/>
    <w:rsid w:val="00917415"/>
    <w:rsid w:val="00917AF5"/>
    <w:rsid w:val="00931614"/>
    <w:rsid w:val="00942331"/>
    <w:rsid w:val="00942400"/>
    <w:rsid w:val="00944C07"/>
    <w:rsid w:val="00947652"/>
    <w:rsid w:val="00952968"/>
    <w:rsid w:val="009557CF"/>
    <w:rsid w:val="00961906"/>
    <w:rsid w:val="00962191"/>
    <w:rsid w:val="009700F6"/>
    <w:rsid w:val="009732E7"/>
    <w:rsid w:val="009768B7"/>
    <w:rsid w:val="00976E4F"/>
    <w:rsid w:val="0098153B"/>
    <w:rsid w:val="009854AD"/>
    <w:rsid w:val="00990645"/>
    <w:rsid w:val="009A3341"/>
    <w:rsid w:val="009A720B"/>
    <w:rsid w:val="009A788D"/>
    <w:rsid w:val="009B03B0"/>
    <w:rsid w:val="009B166D"/>
    <w:rsid w:val="009B2032"/>
    <w:rsid w:val="009B4349"/>
    <w:rsid w:val="009C60ED"/>
    <w:rsid w:val="009C6501"/>
    <w:rsid w:val="009C6D3F"/>
    <w:rsid w:val="009C75FB"/>
    <w:rsid w:val="009D12C7"/>
    <w:rsid w:val="009D1C97"/>
    <w:rsid w:val="009D477D"/>
    <w:rsid w:val="009D6A15"/>
    <w:rsid w:val="009E30B0"/>
    <w:rsid w:val="009E6CAA"/>
    <w:rsid w:val="009E71D9"/>
    <w:rsid w:val="009F7873"/>
    <w:rsid w:val="00A01395"/>
    <w:rsid w:val="00A01CC9"/>
    <w:rsid w:val="00A05227"/>
    <w:rsid w:val="00A248C0"/>
    <w:rsid w:val="00A2705E"/>
    <w:rsid w:val="00A36C97"/>
    <w:rsid w:val="00A41288"/>
    <w:rsid w:val="00A434C9"/>
    <w:rsid w:val="00A45286"/>
    <w:rsid w:val="00A51E90"/>
    <w:rsid w:val="00A5209A"/>
    <w:rsid w:val="00A54F34"/>
    <w:rsid w:val="00A61943"/>
    <w:rsid w:val="00A63E21"/>
    <w:rsid w:val="00A6575D"/>
    <w:rsid w:val="00A66D94"/>
    <w:rsid w:val="00A766E6"/>
    <w:rsid w:val="00A81414"/>
    <w:rsid w:val="00A843D2"/>
    <w:rsid w:val="00A90486"/>
    <w:rsid w:val="00A908E5"/>
    <w:rsid w:val="00A96894"/>
    <w:rsid w:val="00A97951"/>
    <w:rsid w:val="00AA01C8"/>
    <w:rsid w:val="00AB24C9"/>
    <w:rsid w:val="00AB306C"/>
    <w:rsid w:val="00AC005D"/>
    <w:rsid w:val="00AC3C1C"/>
    <w:rsid w:val="00AC7A7B"/>
    <w:rsid w:val="00AD1DFC"/>
    <w:rsid w:val="00AE05A5"/>
    <w:rsid w:val="00AE16F2"/>
    <w:rsid w:val="00AF43F5"/>
    <w:rsid w:val="00AF6D32"/>
    <w:rsid w:val="00B029DA"/>
    <w:rsid w:val="00B03696"/>
    <w:rsid w:val="00B058B8"/>
    <w:rsid w:val="00B078E3"/>
    <w:rsid w:val="00B13190"/>
    <w:rsid w:val="00B164DA"/>
    <w:rsid w:val="00B16680"/>
    <w:rsid w:val="00B16AF8"/>
    <w:rsid w:val="00B2580A"/>
    <w:rsid w:val="00B25A59"/>
    <w:rsid w:val="00B3640F"/>
    <w:rsid w:val="00B46691"/>
    <w:rsid w:val="00B52E40"/>
    <w:rsid w:val="00B561BB"/>
    <w:rsid w:val="00B65F86"/>
    <w:rsid w:val="00B716DE"/>
    <w:rsid w:val="00B802E3"/>
    <w:rsid w:val="00B81488"/>
    <w:rsid w:val="00B83A57"/>
    <w:rsid w:val="00B852FA"/>
    <w:rsid w:val="00B90F38"/>
    <w:rsid w:val="00B94C23"/>
    <w:rsid w:val="00BA7BFB"/>
    <w:rsid w:val="00BB3286"/>
    <w:rsid w:val="00BB43F4"/>
    <w:rsid w:val="00BC47A8"/>
    <w:rsid w:val="00BD766E"/>
    <w:rsid w:val="00BE30D7"/>
    <w:rsid w:val="00BE75B3"/>
    <w:rsid w:val="00BF054F"/>
    <w:rsid w:val="00C02E21"/>
    <w:rsid w:val="00C04C05"/>
    <w:rsid w:val="00C05B6E"/>
    <w:rsid w:val="00C06689"/>
    <w:rsid w:val="00C07A94"/>
    <w:rsid w:val="00C10C57"/>
    <w:rsid w:val="00C15AF4"/>
    <w:rsid w:val="00C16496"/>
    <w:rsid w:val="00C173A6"/>
    <w:rsid w:val="00C21484"/>
    <w:rsid w:val="00C2652B"/>
    <w:rsid w:val="00C32108"/>
    <w:rsid w:val="00C339D9"/>
    <w:rsid w:val="00C3618B"/>
    <w:rsid w:val="00C364A4"/>
    <w:rsid w:val="00C37D89"/>
    <w:rsid w:val="00C45D3D"/>
    <w:rsid w:val="00C50DEC"/>
    <w:rsid w:val="00C71B1D"/>
    <w:rsid w:val="00C7412D"/>
    <w:rsid w:val="00C772EF"/>
    <w:rsid w:val="00C81718"/>
    <w:rsid w:val="00C93571"/>
    <w:rsid w:val="00C94B16"/>
    <w:rsid w:val="00C94BC5"/>
    <w:rsid w:val="00C94F45"/>
    <w:rsid w:val="00CA087D"/>
    <w:rsid w:val="00CA19BF"/>
    <w:rsid w:val="00CA6316"/>
    <w:rsid w:val="00CA7650"/>
    <w:rsid w:val="00CB0DB6"/>
    <w:rsid w:val="00CB3C92"/>
    <w:rsid w:val="00CB7B63"/>
    <w:rsid w:val="00CC3C77"/>
    <w:rsid w:val="00CC3E6F"/>
    <w:rsid w:val="00CC4721"/>
    <w:rsid w:val="00CC4C3A"/>
    <w:rsid w:val="00CD092B"/>
    <w:rsid w:val="00CE719E"/>
    <w:rsid w:val="00CF6064"/>
    <w:rsid w:val="00CF6E69"/>
    <w:rsid w:val="00D0178B"/>
    <w:rsid w:val="00D0384F"/>
    <w:rsid w:val="00D13204"/>
    <w:rsid w:val="00D14BF0"/>
    <w:rsid w:val="00D16665"/>
    <w:rsid w:val="00D16C5D"/>
    <w:rsid w:val="00D24505"/>
    <w:rsid w:val="00D346B7"/>
    <w:rsid w:val="00D43F56"/>
    <w:rsid w:val="00D51A6A"/>
    <w:rsid w:val="00D56B4A"/>
    <w:rsid w:val="00D7269B"/>
    <w:rsid w:val="00D769A4"/>
    <w:rsid w:val="00D824A4"/>
    <w:rsid w:val="00D83CE5"/>
    <w:rsid w:val="00DA0A26"/>
    <w:rsid w:val="00DA59F4"/>
    <w:rsid w:val="00DB1952"/>
    <w:rsid w:val="00DB1FDC"/>
    <w:rsid w:val="00DB3266"/>
    <w:rsid w:val="00DB4B5D"/>
    <w:rsid w:val="00DC05F5"/>
    <w:rsid w:val="00DC33A6"/>
    <w:rsid w:val="00DD09D7"/>
    <w:rsid w:val="00DD1664"/>
    <w:rsid w:val="00DD600C"/>
    <w:rsid w:val="00DF4A24"/>
    <w:rsid w:val="00DF779A"/>
    <w:rsid w:val="00E04883"/>
    <w:rsid w:val="00E126F0"/>
    <w:rsid w:val="00E16F97"/>
    <w:rsid w:val="00E229A5"/>
    <w:rsid w:val="00E31579"/>
    <w:rsid w:val="00E32218"/>
    <w:rsid w:val="00E33D8B"/>
    <w:rsid w:val="00E40B4F"/>
    <w:rsid w:val="00E410C1"/>
    <w:rsid w:val="00E47634"/>
    <w:rsid w:val="00E50DD3"/>
    <w:rsid w:val="00E66879"/>
    <w:rsid w:val="00E71D7B"/>
    <w:rsid w:val="00E76B38"/>
    <w:rsid w:val="00E852A9"/>
    <w:rsid w:val="00E85CF8"/>
    <w:rsid w:val="00E924DB"/>
    <w:rsid w:val="00E92BC2"/>
    <w:rsid w:val="00EA159B"/>
    <w:rsid w:val="00EA7584"/>
    <w:rsid w:val="00EB197B"/>
    <w:rsid w:val="00EB2923"/>
    <w:rsid w:val="00EB2C49"/>
    <w:rsid w:val="00EB7525"/>
    <w:rsid w:val="00EC3542"/>
    <w:rsid w:val="00EC36AA"/>
    <w:rsid w:val="00ED1D91"/>
    <w:rsid w:val="00ED2A03"/>
    <w:rsid w:val="00ED6603"/>
    <w:rsid w:val="00EE2770"/>
    <w:rsid w:val="00EE2C07"/>
    <w:rsid w:val="00EF1968"/>
    <w:rsid w:val="00EF52F1"/>
    <w:rsid w:val="00EF64B6"/>
    <w:rsid w:val="00F01E05"/>
    <w:rsid w:val="00F06EE3"/>
    <w:rsid w:val="00F07E40"/>
    <w:rsid w:val="00F1038D"/>
    <w:rsid w:val="00F12B8F"/>
    <w:rsid w:val="00F14982"/>
    <w:rsid w:val="00F15BA9"/>
    <w:rsid w:val="00F22321"/>
    <w:rsid w:val="00F22D1E"/>
    <w:rsid w:val="00F248A6"/>
    <w:rsid w:val="00F31D95"/>
    <w:rsid w:val="00F33C76"/>
    <w:rsid w:val="00F4188F"/>
    <w:rsid w:val="00F41D95"/>
    <w:rsid w:val="00F43A83"/>
    <w:rsid w:val="00F43FC8"/>
    <w:rsid w:val="00F61E71"/>
    <w:rsid w:val="00F7324D"/>
    <w:rsid w:val="00F9273B"/>
    <w:rsid w:val="00FA2C2B"/>
    <w:rsid w:val="00FA3C52"/>
    <w:rsid w:val="00FA634D"/>
    <w:rsid w:val="00FA7AB3"/>
    <w:rsid w:val="00FB0AD9"/>
    <w:rsid w:val="00FB1ACF"/>
    <w:rsid w:val="00FB2FE4"/>
    <w:rsid w:val="00FC558A"/>
    <w:rsid w:val="00FD0BA3"/>
    <w:rsid w:val="00FE6643"/>
    <w:rsid w:val="00FF0381"/>
    <w:rsid w:val="058645F7"/>
    <w:rsid w:val="093E2A38"/>
    <w:rsid w:val="0A463B74"/>
    <w:rsid w:val="119B0C0A"/>
    <w:rsid w:val="19896992"/>
    <w:rsid w:val="24A17698"/>
    <w:rsid w:val="265579A6"/>
    <w:rsid w:val="277641DF"/>
    <w:rsid w:val="27764D93"/>
    <w:rsid w:val="27DF4C76"/>
    <w:rsid w:val="287C2D39"/>
    <w:rsid w:val="2BED4C62"/>
    <w:rsid w:val="30BA3490"/>
    <w:rsid w:val="322E593E"/>
    <w:rsid w:val="3C202EE7"/>
    <w:rsid w:val="414C6C24"/>
    <w:rsid w:val="42990629"/>
    <w:rsid w:val="437C1022"/>
    <w:rsid w:val="4A8D1E31"/>
    <w:rsid w:val="4DFC03F6"/>
    <w:rsid w:val="4F4F0B87"/>
    <w:rsid w:val="504B1992"/>
    <w:rsid w:val="53B04E1E"/>
    <w:rsid w:val="546845E3"/>
    <w:rsid w:val="55802A73"/>
    <w:rsid w:val="58635501"/>
    <w:rsid w:val="5AA27CEC"/>
    <w:rsid w:val="5B225A90"/>
    <w:rsid w:val="5EC84CA0"/>
    <w:rsid w:val="5F005C68"/>
    <w:rsid w:val="607D45AB"/>
    <w:rsid w:val="646856C7"/>
    <w:rsid w:val="6D5105A7"/>
    <w:rsid w:val="702D286B"/>
    <w:rsid w:val="748D1AF6"/>
    <w:rsid w:val="7D5B0573"/>
    <w:rsid w:val="7DC66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99"/>
    <w:pPr>
      <w:ind w:firstLine="420" w:firstLineChars="200"/>
    </w:pPr>
  </w:style>
  <w:style w:type="character" w:customStyle="1" w:styleId="14">
    <w:name w:val="批注框文本 Char"/>
    <w:basedOn w:val="9"/>
    <w:link w:val="3"/>
    <w:semiHidden/>
    <w:qFormat/>
    <w:uiPriority w:val="99"/>
    <w:rPr>
      <w:kern w:val="2"/>
      <w:sz w:val="18"/>
      <w:szCs w:val="18"/>
    </w:rPr>
  </w:style>
  <w:style w:type="character" w:customStyle="1" w:styleId="15">
    <w:name w:val="text_vtes5"/>
    <w:basedOn w:val="9"/>
    <w:qFormat/>
    <w:uiPriority w:val="0"/>
  </w:style>
  <w:style w:type="character" w:customStyle="1" w:styleId="16">
    <w:name w:val="supwrap_tykew"/>
    <w:basedOn w:val="9"/>
    <w:qFormat/>
    <w:uiPriority w:val="0"/>
  </w:style>
  <w:style w:type="character" w:customStyle="1" w:styleId="17">
    <w:name w:val="批注文字 Char"/>
    <w:basedOn w:val="9"/>
    <w:link w:val="2"/>
    <w:semiHidden/>
    <w:qFormat/>
    <w:uiPriority w:val="99"/>
    <w:rPr>
      <w:kern w:val="2"/>
      <w:sz w:val="21"/>
      <w:szCs w:val="22"/>
    </w:rPr>
  </w:style>
  <w:style w:type="character" w:customStyle="1" w:styleId="18">
    <w:name w:val="批注主题 Char"/>
    <w:basedOn w:val="17"/>
    <w:link w:val="6"/>
    <w:semiHidden/>
    <w:qFormat/>
    <w:uiPriority w:val="99"/>
    <w:rPr>
      <w:b/>
      <w:bCs/>
      <w:kern w:val="2"/>
      <w:sz w:val="21"/>
      <w:szCs w:val="22"/>
    </w:rPr>
  </w:style>
  <w:style w:type="character" w:customStyle="1" w:styleId="19">
    <w:name w:val="ql-font-microsoftyahei"/>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50893-5F8C-4625-BA42-D634E4FA4FD3}">
  <ds:schemaRefs/>
</ds:datastoreItem>
</file>

<file path=docProps/app.xml><?xml version="1.0" encoding="utf-8"?>
<Properties xmlns="http://schemas.openxmlformats.org/officeDocument/2006/extended-properties" xmlns:vt="http://schemas.openxmlformats.org/officeDocument/2006/docPropsVTypes">
  <Template>Normal</Template>
  <Pages>12</Pages>
  <Words>1447</Words>
  <Characters>8253</Characters>
  <Lines>68</Lines>
  <Paragraphs>19</Paragraphs>
  <TotalTime>1</TotalTime>
  <ScaleCrop>false</ScaleCrop>
  <LinksUpToDate>false</LinksUpToDate>
  <CharactersWithSpaces>9681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2023-11-27T08:19:00Z</dcterms:created>
  <dc:creator>DELL</dc:creator>
  <cp:lastModifiedBy>冀津</cp:lastModifiedBy>
  <cp:lastPrinted>2023-12-04T00:22:00Z</cp:lastPrinted>
  <dcterms:modified xsi:type="dcterms:W3CDTF">2023-12-07T06:34:54Z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34B375EE31F14B7E97687DF7882C7D5F_13</vt:lpwstr>
  </property>
</Properties>
</file>