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contextualSpacing/>
        <w:rPr>
          <w:rFonts w:hint="eastAsia" w:ascii="仿宋_GB2312" w:hAnsi="CESI仿宋-GB13000" w:eastAsia="仿宋_GB2312" w:cs="CESI仿宋-GB13000"/>
          <w:b/>
          <w:bCs/>
          <w:sz w:val="28"/>
          <w:szCs w:val="28"/>
        </w:rPr>
      </w:pPr>
      <w:r>
        <w:rPr>
          <w:rFonts w:hint="eastAsia" w:ascii="仿宋_GB2312" w:hAnsi="CESI仿宋-GB13000" w:eastAsia="仿宋_GB2312" w:cs="CESI仿宋-GB13000"/>
          <w:b/>
          <w:bCs/>
          <w:sz w:val="28"/>
          <w:szCs w:val="28"/>
        </w:rPr>
        <w:t>附件1</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jc w:val="center"/>
        <w:textAlignment w:val="auto"/>
        <w:rPr>
          <w:rFonts w:hint="eastAsia" w:ascii="仿宋_GB2312" w:hAnsi="仿宋_GB2312" w:eastAsia="仿宋_GB2312" w:cs="仿宋_GB2312"/>
          <w:sz w:val="30"/>
          <w:szCs w:val="30"/>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t>学校落实“新京十条”情况工作任务单</w:t>
      </w:r>
    </w:p>
    <w:p>
      <w:pPr>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default" w:ascii="方正小标宋简体" w:hAnsi="方正小标宋简体" w:eastAsia="方正小标宋简体" w:cs="方正小标宋简体"/>
          <w:color w:val="000000"/>
          <w:kern w:val="0"/>
          <w:sz w:val="36"/>
          <w:szCs w:val="36"/>
          <w:lang w:val="en-US" w:eastAsia="zh-CN" w:bidi="ar"/>
        </w:rPr>
      </w:pP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（一）加强党对职业教育的全面领导情况</w:t>
      </w:r>
    </w:p>
    <w:p>
      <w:pPr>
        <w:pStyle w:val="6"/>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内容包含：健全党对职业教育全面领导的体制机制；落实立德树人根本任务，推动思想政治教育与技术技能培养融合统一；落实公办职业学校基层党组织领导的校长负责制等情况。（</w:t>
      </w:r>
      <w:r>
        <w:rPr>
          <w:rFonts w:hint="eastAsia" w:ascii="仿宋_GB2312" w:hAnsi="仿宋_GB2312" w:eastAsia="仿宋_GB2312" w:cs="仿宋_GB2312"/>
          <w:sz w:val="30"/>
          <w:szCs w:val="30"/>
          <w:lang w:val="en-US" w:eastAsia="zh-CN"/>
        </w:rPr>
        <w:t>责任</w:t>
      </w:r>
      <w:r>
        <w:rPr>
          <w:rFonts w:hint="eastAsia" w:ascii="仿宋_GB2312" w:hAnsi="仿宋_GB2312" w:cs="仿宋_GB2312"/>
          <w:sz w:val="30"/>
          <w:szCs w:val="30"/>
          <w:lang w:val="en-US" w:eastAsia="zh-CN"/>
        </w:rPr>
        <w:t>单位</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党政办、</w:t>
      </w:r>
      <w:r>
        <w:rPr>
          <w:rFonts w:hint="eastAsia" w:ascii="仿宋_GB2312" w:hAnsi="仿宋_GB2312" w:cs="仿宋_GB2312"/>
          <w:sz w:val="30"/>
          <w:szCs w:val="30"/>
          <w:lang w:val="en-US" w:eastAsia="zh-CN"/>
        </w:rPr>
        <w:t>宣传部、</w:t>
      </w:r>
      <w:r>
        <w:rPr>
          <w:rFonts w:hint="eastAsia" w:ascii="仿宋_GB2312" w:hAnsi="仿宋_GB2312" w:eastAsia="仿宋_GB2312" w:cs="仿宋_GB2312"/>
          <w:sz w:val="30"/>
          <w:szCs w:val="30"/>
        </w:rPr>
        <w:t>组织部）</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（二）推动落实“新京十条”配套政策文件情况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内容包含:制定配套落实政策文件等情况</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附件1-1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；召开协调会议等情况</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附件1-2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；营造促进职业教育发展的氛围等情况；“高质量、有特色、国际化”的办学体现等情况。（</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：党政办</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配合单位：各成员单位</w:t>
      </w:r>
      <w:r>
        <w:rPr>
          <w:rFonts w:hint="eastAsia" w:ascii="仿宋_GB2312" w:hAnsi="仿宋_GB2312" w:eastAsia="仿宋_GB2312" w:cs="仿宋_GB2312"/>
          <w:sz w:val="30"/>
          <w:szCs w:val="30"/>
        </w:rPr>
        <w:t>）</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（三）优化技术技能人才供给结构情况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内容包含：毕业生就业率、就业对口率情况；围绕首都高精尖产业发展、超大城市运行管理、高品质民生需求专业设置情况；提升人才培养与首都经济社会发展需求匹配度等情况。（</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：招就处、教务处）</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（四）职业院校综合改革情况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内容包含：学校推动本科层次职业教育发展，开展边工作边进修的学历贯通，面向中职招生等特色化办学情况。（</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：教务处</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继续教育学院</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配合单位：学前教育学院、信息传媒艺术学院、现代管理学院、国际学院</w:t>
      </w:r>
      <w:bookmarkStart w:id="0" w:name="_GoBack"/>
      <w:bookmarkEnd w:id="0"/>
      <w:r>
        <w:rPr>
          <w:rFonts w:hint="eastAsia" w:ascii="仿宋_GB2312" w:hAnsi="仿宋_GB2312" w:eastAsia="仿宋_GB2312" w:cs="仿宋_GB2312"/>
          <w:sz w:val="30"/>
          <w:szCs w:val="30"/>
        </w:rPr>
        <w:t>）</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（五）优化产教融合校企合作政策环境情况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内容包含：企业深度参与职业教育情况；开展“入学即入职、工学结合”培养模式试点情况；校企共建企业学院、产业学院，企业设立实习实训基地等情况。（</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：教务处</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配合单位：各二级学院</w:t>
      </w:r>
      <w:r>
        <w:rPr>
          <w:rFonts w:hint="eastAsia" w:ascii="仿宋_GB2312" w:hAnsi="仿宋_GB2312" w:eastAsia="仿宋_GB2312" w:cs="仿宋_GB2312"/>
          <w:sz w:val="30"/>
          <w:szCs w:val="30"/>
        </w:rPr>
        <w:t>）</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（六）打通高技能人才职称评价通道情况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内容包含：学校毕业生取得相应级别职业资格或职业技能等级的高技能人才参评职称情况；在世界技能大赛、全国技能大赛上获奖学生可破格申报高级职称并享受相关待遇情况；优秀技能人才的奖励机制情况。（</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：人事处</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教务处</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配合单位：招就处</w:t>
      </w:r>
      <w:r>
        <w:rPr>
          <w:rFonts w:hint="eastAsia" w:ascii="仿宋_GB2312" w:hAnsi="仿宋_GB2312" w:eastAsia="仿宋_GB2312" w:cs="仿宋_GB2312"/>
          <w:sz w:val="30"/>
          <w:szCs w:val="30"/>
        </w:rPr>
        <w:t>）</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（七）完善对职业学校教师的激励制度情况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加强职业教育教师队伍建设情况；学校对科技成果转化作出重要贡献的人员按照国家及本市相关规定给予现金奖励；学校面向社会提供高质量的职业培训服务情况；开展补贴性培训和市场化社会培训按最高70%比例提取作为绩效工资来源，每年调整绩效工资总量情况；依法依规自主聘请兼职教师，确定兼职报酬等情况。（</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：人事处</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科研处、继续教育学院、</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教务处</w:t>
      </w:r>
      <w:r>
        <w:rPr>
          <w:rFonts w:hint="eastAsia" w:ascii="仿宋_GB2312" w:hAnsi="仿宋_GB2312" w:eastAsia="仿宋_GB2312" w:cs="仿宋_GB2312"/>
          <w:sz w:val="30"/>
          <w:szCs w:val="30"/>
        </w:rPr>
        <w:t>）</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（八）拓宽职业学校毕业生就业渠道情况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w:t>
      </w:r>
      <w:r>
        <w:rPr>
          <w:rFonts w:hint="eastAsia" w:ascii="仿宋_GB2312" w:hAnsi="仿宋_GB2312" w:eastAsia="仿宋_GB2312" w:cs="仿宋_GB2312"/>
          <w:sz w:val="30"/>
          <w:szCs w:val="30"/>
          <w:lang w:val="en-US" w:eastAsia="zh-CN"/>
        </w:rPr>
        <w:t>相关就业政策促进学生就业情况；就业困难学生帮扶情况；各专业访企拓岗开展情况</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：招就处</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配合单位：各二级学院</w:t>
      </w:r>
      <w:r>
        <w:rPr>
          <w:rFonts w:hint="eastAsia" w:ascii="仿宋_GB2312" w:hAnsi="仿宋_GB2312" w:eastAsia="仿宋_GB2312" w:cs="仿宋_GB2312"/>
          <w:sz w:val="30"/>
          <w:szCs w:val="30"/>
        </w:rPr>
        <w:t>）</w:t>
      </w:r>
    </w:p>
    <w:p>
      <w:pPr>
        <w:keepNext w:val="0"/>
        <w:keepLines w:val="0"/>
        <w:pageBreakBefore w:val="0"/>
        <w:widowControl/>
        <w:kinsoku/>
        <w:wordWrap/>
        <w:overflowPunct/>
        <w:topLinePunct w:val="0"/>
        <w:autoSpaceDE/>
        <w:autoSpaceDN/>
        <w:bidi w:val="0"/>
        <w:adjustRightInd/>
        <w:snapToGrid/>
        <w:spacing w:line="560" w:lineRule="exact"/>
        <w:ind w:firstLine="0" w:firstLineChars="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（九）打造职业教育示范项目情况</w:t>
      </w:r>
    </w:p>
    <w:p>
      <w:pPr>
        <w:keepNext w:val="0"/>
        <w:keepLines w:val="0"/>
        <w:pageBreakBefore w:val="0"/>
        <w:widowControl/>
        <w:kinsoku/>
        <w:wordWrap/>
        <w:overflowPunct/>
        <w:topLinePunct w:val="0"/>
        <w:autoSpaceDE/>
        <w:autoSpaceDN/>
        <w:bidi w:val="0"/>
        <w:adjustRightInd/>
        <w:snapToGrid/>
        <w:spacing w:line="560" w:lineRule="exact"/>
        <w:ind w:firstLine="600" w:firstLineChars="200"/>
        <w:contextualSpacing/>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内容包含：京津冀三地职业学校学生培养、师资培训、资源共享、社会服务、交流研讨等方面开展合作情况；与国际高水平职业教育机构和组织合作打造职业教育品牌；在“一带一路”沿线国家或地区开展境外办学、设立职业教育培训中心等情况。（</w:t>
      </w:r>
      <w:r>
        <w:rPr>
          <w:rFonts w:hint="eastAsia" w:ascii="仿宋_GB2312" w:hAnsi="仿宋_GB2312" w:eastAsia="仿宋_GB2312" w:cs="仿宋_GB2312"/>
          <w:sz w:val="30"/>
          <w:szCs w:val="30"/>
          <w:lang w:val="en-US" w:eastAsia="zh-CN"/>
        </w:rPr>
        <w:t>责任单位：</w:t>
      </w:r>
      <w:r>
        <w:rPr>
          <w:rFonts w:hint="eastAsia" w:ascii="仿宋_GB2312" w:hAnsi="仿宋_GB2312" w:eastAsia="仿宋_GB2312" w:cs="仿宋_GB2312"/>
          <w:sz w:val="30"/>
          <w:szCs w:val="30"/>
        </w:rPr>
        <w:t>学生处、</w:t>
      </w:r>
      <w:r>
        <w:rPr>
          <w:rFonts w:hint="eastAsia" w:ascii="仿宋_GB2312" w:hAnsi="仿宋_GB2312" w:eastAsia="仿宋_GB2312" w:cs="仿宋_GB2312"/>
          <w:sz w:val="30"/>
          <w:szCs w:val="30"/>
          <w:lang w:val="en-US" w:eastAsia="zh-CN"/>
        </w:rPr>
        <w:t>人事处、教务处</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科研处、继续教育学院、</w:t>
      </w:r>
      <w:r>
        <w:rPr>
          <w:rFonts w:hint="eastAsia" w:ascii="仿宋_GB2312" w:hAnsi="仿宋_GB2312" w:eastAsia="仿宋_GB2312" w:cs="仿宋_GB2312"/>
          <w:sz w:val="30"/>
          <w:szCs w:val="30"/>
        </w:rPr>
        <w:t>对外合作</w:t>
      </w:r>
      <w:r>
        <w:rPr>
          <w:rFonts w:hint="eastAsia" w:ascii="仿宋_GB2312" w:hAnsi="仿宋_GB2312" w:eastAsia="仿宋_GB2312" w:cs="仿宋_GB2312"/>
          <w:sz w:val="30"/>
          <w:szCs w:val="30"/>
          <w:lang w:val="en-US" w:eastAsia="zh-CN"/>
        </w:rPr>
        <w:t>与</w:t>
      </w:r>
      <w:r>
        <w:rPr>
          <w:rFonts w:hint="eastAsia" w:ascii="仿宋_GB2312" w:hAnsi="仿宋_GB2312" w:eastAsia="仿宋_GB2312" w:cs="仿宋_GB2312"/>
          <w:sz w:val="30"/>
          <w:szCs w:val="30"/>
        </w:rPr>
        <w:t>交流处</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配合单位：各二级学院（中心）</w:t>
      </w:r>
      <w:r>
        <w:rPr>
          <w:rFonts w:hint="eastAsia" w:ascii="仿宋_GB2312" w:hAnsi="仿宋_GB2312" w:eastAsia="仿宋_GB2312" w:cs="仿宋_GB2312"/>
          <w:sz w:val="30"/>
          <w:szCs w:val="30"/>
        </w:rPr>
        <w:t>）</w:t>
      </w:r>
    </w:p>
    <w:p>
      <w:pPr>
        <w:pStyle w:val="6"/>
        <w:keepNext w:val="0"/>
        <w:keepLines w:val="0"/>
        <w:pageBreakBefore w:val="0"/>
        <w:widowControl/>
        <w:kinsoku/>
        <w:wordWrap/>
        <w:overflowPunct/>
        <w:topLinePunct w:val="0"/>
        <w:autoSpaceDE/>
        <w:autoSpaceDN/>
        <w:bidi w:val="0"/>
        <w:adjustRightInd/>
        <w:snapToGrid/>
        <w:spacing w:line="560" w:lineRule="exact"/>
        <w:ind w:firstLine="602" w:firstLineChars="200"/>
        <w:contextualSpacing/>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sz w:val="30"/>
          <w:szCs w:val="30"/>
        </w:rPr>
        <w:t>每部分内容根据实际情况提供典型案例【典型案例****】，案例个数可多可少，每个案例字数控制在200—300字，简要说明做法及成效，如有可供重点推广的案例，可附详细案例，图文结合，字数不限。同时还需提交存在问题及原因、需进一步整改的情况和</w:t>
      </w:r>
      <w:r>
        <w:rPr>
          <w:rFonts w:hint="eastAsia" w:ascii="仿宋_GB2312" w:hAnsi="仿宋_GB2312" w:eastAsia="仿宋_GB2312" w:cs="仿宋_GB2312"/>
          <w:b/>
          <w:bCs/>
          <w:sz w:val="30"/>
          <w:szCs w:val="30"/>
        </w:rPr>
        <w:t>工作建议，字数不限。</w:t>
      </w:r>
    </w:p>
    <w:p>
      <w:pPr>
        <w:pStyle w:val="6"/>
        <w:keepNext w:val="0"/>
        <w:keepLines w:val="0"/>
        <w:pageBreakBefore w:val="0"/>
        <w:widowControl/>
        <w:kinsoku/>
        <w:wordWrap/>
        <w:overflowPunct/>
        <w:topLinePunct w:val="0"/>
        <w:autoSpaceDE/>
        <w:autoSpaceDN/>
        <w:bidi w:val="0"/>
        <w:adjustRightInd/>
        <w:snapToGrid/>
        <w:spacing w:line="560" w:lineRule="exact"/>
        <w:ind w:firstLine="602" w:firstLineChars="200"/>
        <w:contextualSpacing/>
        <w:textAlignment w:val="auto"/>
        <w:rPr>
          <w:rFonts w:hint="default" w:ascii="仿宋_GB2312" w:hAnsi="仿宋_GB2312" w:eastAsia="仿宋_GB2312" w:cs="仿宋_GB2312"/>
          <w:b/>
          <w:bCs/>
          <w:sz w:val="30"/>
          <w:szCs w:val="30"/>
          <w:lang w:val="en-US" w:eastAsia="zh-CN"/>
        </w:rPr>
      </w:pPr>
      <w:r>
        <w:rPr>
          <w:rFonts w:hint="eastAsia" w:ascii="仿宋_GB2312" w:hAnsi="仿宋_GB2312" w:cs="仿宋_GB2312"/>
          <w:b/>
          <w:bCs/>
          <w:sz w:val="30"/>
          <w:szCs w:val="30"/>
          <w:lang w:val="en-US" w:eastAsia="zh-CN"/>
        </w:rPr>
        <w:t>【格式要求】字体：仿宋_GB2312，四号；行间距：固定值28磅；首行缩进2字符。</w:t>
      </w:r>
    </w:p>
    <w:p>
      <w:pPr>
        <w:spacing w:line="500" w:lineRule="exact"/>
        <w:rPr>
          <w:rFonts w:hint="eastAsia" w:ascii="仿宋_GB2312" w:eastAsia="仿宋_GB2312"/>
        </w:rPr>
        <w:sectPr>
          <w:pgSz w:w="11906" w:h="16838"/>
          <w:pgMar w:top="1440" w:right="1800" w:bottom="1440" w:left="1800" w:header="851" w:footer="992" w:gutter="0"/>
          <w:cols w:space="425" w:num="1"/>
          <w:docGrid w:type="lines" w:linePitch="312" w:charSpace="0"/>
        </w:sectPr>
      </w:pPr>
    </w:p>
    <w:p>
      <w:pPr>
        <w:spacing w:line="500" w:lineRule="exact"/>
        <w:rPr>
          <w:rFonts w:hint="eastAsia" w:ascii="仿宋_GB2312" w:eastAsia="仿宋_GB2312"/>
          <w:sz w:val="28"/>
          <w:szCs w:val="28"/>
          <w:lang w:val="en-US" w:eastAsia="zh-CN"/>
        </w:rPr>
      </w:pPr>
      <w:r>
        <w:rPr>
          <w:rFonts w:hint="eastAsia" w:ascii="仿宋_GB2312" w:eastAsia="仿宋_GB2312"/>
          <w:sz w:val="28"/>
          <w:szCs w:val="28"/>
          <w:lang w:val="en-US" w:eastAsia="zh-CN"/>
        </w:rPr>
        <w:t>附件1-1</w:t>
      </w:r>
    </w:p>
    <w:p>
      <w:pPr>
        <w:keepNext w:val="0"/>
        <w:keepLines w:val="0"/>
        <w:pageBreakBefore w:val="0"/>
        <w:widowControl/>
        <w:kinsoku/>
        <w:wordWrap/>
        <w:overflowPunct/>
        <w:topLinePunct w:val="0"/>
        <w:autoSpaceDE/>
        <w:autoSpaceDN/>
        <w:bidi w:val="0"/>
        <w:adjustRightInd/>
        <w:snapToGrid/>
        <w:spacing w:line="560" w:lineRule="exact"/>
        <w:ind w:firstLine="562" w:firstLineChars="200"/>
        <w:contextualSpacing/>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rPr>
        <w:t>学校制定落实“新京十条”相关文件情况表，并提交文件原文PDF版（2022.5-今）</w:t>
      </w:r>
    </w:p>
    <w:tbl>
      <w:tblPr>
        <w:tblStyle w:val="3"/>
        <w:tblW w:w="8880"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800"/>
        <w:gridCol w:w="1614"/>
        <w:gridCol w:w="3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序号</w:t>
            </w:r>
          </w:p>
        </w:tc>
        <w:tc>
          <w:tcPr>
            <w:tcW w:w="2800" w:type="dxa"/>
            <w:vAlign w:val="center"/>
          </w:tcPr>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文件名称</w:t>
            </w:r>
          </w:p>
        </w:tc>
        <w:tc>
          <w:tcPr>
            <w:tcW w:w="1614" w:type="dxa"/>
            <w:vAlign w:val="center"/>
          </w:tcPr>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发文字号</w:t>
            </w:r>
          </w:p>
        </w:tc>
        <w:tc>
          <w:tcPr>
            <w:tcW w:w="3766" w:type="dxa"/>
            <w:vAlign w:val="center"/>
          </w:tcPr>
          <w:p>
            <w:pPr>
              <w:widowControl/>
              <w:contextualSpacing/>
              <w:jc w:val="center"/>
              <w:rPr>
                <w:rFonts w:ascii="仿宋_GB2312" w:hAnsi="CESI仿宋-GB13000" w:cs="CESI仿宋-GB13000"/>
                <w:sz w:val="24"/>
              </w:rPr>
            </w:pPr>
            <w:r>
              <w:rPr>
                <w:rFonts w:hint="eastAsia" w:ascii="仿宋_GB2312" w:hAnsi="CESI仿宋-GB13000" w:cs="CESI仿宋-GB13000"/>
                <w:sz w:val="24"/>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0" w:type="dxa"/>
          </w:tcPr>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1</w:t>
            </w:r>
          </w:p>
        </w:tc>
        <w:tc>
          <w:tcPr>
            <w:tcW w:w="2800" w:type="dxa"/>
            <w:vAlign w:val="center"/>
          </w:tcPr>
          <w:p>
            <w:pPr>
              <w:widowControl/>
              <w:contextualSpacing/>
              <w:jc w:val="center"/>
              <w:rPr>
                <w:rFonts w:hint="eastAsia" w:ascii="仿宋_GB2312" w:hAnsi="CESI仿宋-GB13000" w:cs="CESI仿宋-GB13000"/>
                <w:sz w:val="24"/>
              </w:rPr>
            </w:pPr>
          </w:p>
        </w:tc>
        <w:tc>
          <w:tcPr>
            <w:tcW w:w="1614" w:type="dxa"/>
            <w:vAlign w:val="center"/>
          </w:tcPr>
          <w:p>
            <w:pPr>
              <w:widowControl/>
              <w:contextualSpacing/>
              <w:jc w:val="center"/>
              <w:rPr>
                <w:rFonts w:hint="eastAsia" w:ascii="仿宋_GB2312" w:hAnsi="CESI仿宋-GB13000" w:cs="CESI仿宋-GB13000"/>
                <w:sz w:val="24"/>
              </w:rPr>
            </w:pPr>
          </w:p>
        </w:tc>
        <w:tc>
          <w:tcPr>
            <w:tcW w:w="3766"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0" w:type="dxa"/>
          </w:tcPr>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w:t>
            </w:r>
          </w:p>
        </w:tc>
        <w:tc>
          <w:tcPr>
            <w:tcW w:w="2800" w:type="dxa"/>
            <w:vAlign w:val="center"/>
          </w:tcPr>
          <w:p>
            <w:pPr>
              <w:widowControl/>
              <w:contextualSpacing/>
              <w:jc w:val="center"/>
              <w:rPr>
                <w:rFonts w:hint="eastAsia" w:ascii="仿宋_GB2312" w:hAnsi="CESI仿宋-GB13000" w:cs="CESI仿宋-GB13000"/>
                <w:sz w:val="24"/>
              </w:rPr>
            </w:pPr>
          </w:p>
        </w:tc>
        <w:tc>
          <w:tcPr>
            <w:tcW w:w="1614" w:type="dxa"/>
            <w:vAlign w:val="center"/>
          </w:tcPr>
          <w:p>
            <w:pPr>
              <w:widowControl/>
              <w:contextualSpacing/>
              <w:jc w:val="center"/>
              <w:rPr>
                <w:rFonts w:hint="eastAsia" w:ascii="仿宋_GB2312" w:hAnsi="CESI仿宋-GB13000" w:cs="CESI仿宋-GB13000"/>
                <w:sz w:val="24"/>
              </w:rPr>
            </w:pPr>
          </w:p>
        </w:tc>
        <w:tc>
          <w:tcPr>
            <w:tcW w:w="3766"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0" w:type="dxa"/>
          </w:tcPr>
          <w:p>
            <w:pPr>
              <w:widowControl/>
              <w:contextualSpacing/>
              <w:jc w:val="center"/>
              <w:rPr>
                <w:rFonts w:hint="eastAsia" w:ascii="仿宋_GB2312" w:hAnsi="CESI仿宋-GB13000" w:cs="CESI仿宋-GB13000"/>
                <w:sz w:val="24"/>
              </w:rPr>
            </w:pPr>
          </w:p>
        </w:tc>
        <w:tc>
          <w:tcPr>
            <w:tcW w:w="2800" w:type="dxa"/>
            <w:vAlign w:val="center"/>
          </w:tcPr>
          <w:p>
            <w:pPr>
              <w:widowControl/>
              <w:contextualSpacing/>
              <w:jc w:val="center"/>
              <w:rPr>
                <w:rFonts w:hint="eastAsia" w:ascii="仿宋_GB2312" w:hAnsi="CESI仿宋-GB13000" w:cs="CESI仿宋-GB13000"/>
                <w:sz w:val="24"/>
              </w:rPr>
            </w:pPr>
          </w:p>
        </w:tc>
        <w:tc>
          <w:tcPr>
            <w:tcW w:w="1614" w:type="dxa"/>
            <w:vAlign w:val="center"/>
          </w:tcPr>
          <w:p>
            <w:pPr>
              <w:widowControl/>
              <w:contextualSpacing/>
              <w:jc w:val="center"/>
              <w:rPr>
                <w:rFonts w:hint="eastAsia" w:ascii="仿宋_GB2312" w:hAnsi="CESI仿宋-GB13000" w:cs="CESI仿宋-GB13000"/>
                <w:sz w:val="24"/>
              </w:rPr>
            </w:pPr>
          </w:p>
        </w:tc>
        <w:tc>
          <w:tcPr>
            <w:tcW w:w="3766"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0" w:type="dxa"/>
          </w:tcPr>
          <w:p>
            <w:pPr>
              <w:widowControl/>
              <w:contextualSpacing/>
              <w:jc w:val="center"/>
              <w:rPr>
                <w:rFonts w:hint="eastAsia" w:ascii="仿宋_GB2312" w:hAnsi="CESI仿宋-GB13000" w:cs="CESI仿宋-GB13000"/>
                <w:sz w:val="24"/>
              </w:rPr>
            </w:pPr>
          </w:p>
        </w:tc>
        <w:tc>
          <w:tcPr>
            <w:tcW w:w="2800" w:type="dxa"/>
            <w:vAlign w:val="center"/>
          </w:tcPr>
          <w:p>
            <w:pPr>
              <w:widowControl/>
              <w:contextualSpacing/>
              <w:jc w:val="center"/>
              <w:rPr>
                <w:rFonts w:hint="eastAsia" w:ascii="仿宋_GB2312" w:hAnsi="CESI仿宋-GB13000" w:cs="CESI仿宋-GB13000"/>
                <w:sz w:val="24"/>
              </w:rPr>
            </w:pPr>
          </w:p>
        </w:tc>
        <w:tc>
          <w:tcPr>
            <w:tcW w:w="1614" w:type="dxa"/>
            <w:vAlign w:val="center"/>
          </w:tcPr>
          <w:p>
            <w:pPr>
              <w:widowControl/>
              <w:contextualSpacing/>
              <w:jc w:val="center"/>
              <w:rPr>
                <w:rFonts w:hint="eastAsia" w:ascii="仿宋_GB2312" w:hAnsi="CESI仿宋-GB13000" w:cs="CESI仿宋-GB13000"/>
                <w:sz w:val="24"/>
              </w:rPr>
            </w:pPr>
          </w:p>
        </w:tc>
        <w:tc>
          <w:tcPr>
            <w:tcW w:w="3766"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0" w:type="dxa"/>
          </w:tcPr>
          <w:p>
            <w:pPr>
              <w:widowControl/>
              <w:contextualSpacing/>
              <w:jc w:val="center"/>
              <w:rPr>
                <w:rFonts w:hint="eastAsia" w:ascii="仿宋_GB2312" w:hAnsi="CESI仿宋-GB13000" w:cs="CESI仿宋-GB13000"/>
                <w:sz w:val="24"/>
              </w:rPr>
            </w:pPr>
          </w:p>
        </w:tc>
        <w:tc>
          <w:tcPr>
            <w:tcW w:w="2800" w:type="dxa"/>
            <w:vAlign w:val="center"/>
          </w:tcPr>
          <w:p>
            <w:pPr>
              <w:widowControl/>
              <w:contextualSpacing/>
              <w:jc w:val="center"/>
              <w:rPr>
                <w:rFonts w:hint="eastAsia" w:ascii="仿宋_GB2312" w:hAnsi="CESI仿宋-GB13000" w:cs="CESI仿宋-GB13000"/>
                <w:sz w:val="24"/>
              </w:rPr>
            </w:pPr>
          </w:p>
        </w:tc>
        <w:tc>
          <w:tcPr>
            <w:tcW w:w="1614" w:type="dxa"/>
            <w:vAlign w:val="center"/>
          </w:tcPr>
          <w:p>
            <w:pPr>
              <w:widowControl/>
              <w:contextualSpacing/>
              <w:jc w:val="center"/>
              <w:rPr>
                <w:rFonts w:hint="eastAsia" w:ascii="仿宋_GB2312" w:hAnsi="CESI仿宋-GB13000" w:cs="CESI仿宋-GB13000"/>
                <w:sz w:val="24"/>
              </w:rPr>
            </w:pPr>
          </w:p>
        </w:tc>
        <w:tc>
          <w:tcPr>
            <w:tcW w:w="3766"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0" w:type="dxa"/>
          </w:tcPr>
          <w:p>
            <w:pPr>
              <w:widowControl/>
              <w:contextualSpacing/>
              <w:jc w:val="center"/>
              <w:rPr>
                <w:rFonts w:hint="eastAsia" w:ascii="仿宋_GB2312" w:hAnsi="CESI仿宋-GB13000" w:cs="CESI仿宋-GB13000"/>
                <w:sz w:val="24"/>
              </w:rPr>
            </w:pPr>
          </w:p>
        </w:tc>
        <w:tc>
          <w:tcPr>
            <w:tcW w:w="2800" w:type="dxa"/>
            <w:vAlign w:val="center"/>
          </w:tcPr>
          <w:p>
            <w:pPr>
              <w:widowControl/>
              <w:contextualSpacing/>
              <w:jc w:val="center"/>
              <w:rPr>
                <w:rFonts w:hint="eastAsia" w:ascii="仿宋_GB2312" w:hAnsi="CESI仿宋-GB13000" w:cs="CESI仿宋-GB13000"/>
                <w:sz w:val="24"/>
              </w:rPr>
            </w:pPr>
          </w:p>
        </w:tc>
        <w:tc>
          <w:tcPr>
            <w:tcW w:w="1614" w:type="dxa"/>
            <w:vAlign w:val="center"/>
          </w:tcPr>
          <w:p>
            <w:pPr>
              <w:widowControl/>
              <w:contextualSpacing/>
              <w:jc w:val="center"/>
              <w:rPr>
                <w:rFonts w:hint="eastAsia" w:ascii="仿宋_GB2312" w:hAnsi="CESI仿宋-GB13000" w:cs="CESI仿宋-GB13000"/>
                <w:sz w:val="24"/>
              </w:rPr>
            </w:pPr>
          </w:p>
        </w:tc>
        <w:tc>
          <w:tcPr>
            <w:tcW w:w="3766"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700" w:type="dxa"/>
          </w:tcPr>
          <w:p>
            <w:pPr>
              <w:widowControl/>
              <w:contextualSpacing/>
              <w:jc w:val="center"/>
              <w:rPr>
                <w:rFonts w:hint="eastAsia" w:ascii="仿宋_GB2312" w:hAnsi="CESI仿宋-GB13000" w:cs="CESI仿宋-GB13000"/>
                <w:sz w:val="24"/>
              </w:rPr>
            </w:pPr>
          </w:p>
        </w:tc>
        <w:tc>
          <w:tcPr>
            <w:tcW w:w="2800" w:type="dxa"/>
            <w:vAlign w:val="center"/>
          </w:tcPr>
          <w:p>
            <w:pPr>
              <w:widowControl/>
              <w:contextualSpacing/>
              <w:jc w:val="center"/>
              <w:rPr>
                <w:rFonts w:hint="eastAsia" w:ascii="仿宋_GB2312" w:hAnsi="CESI仿宋-GB13000" w:cs="CESI仿宋-GB13000"/>
                <w:sz w:val="24"/>
              </w:rPr>
            </w:pPr>
          </w:p>
        </w:tc>
        <w:tc>
          <w:tcPr>
            <w:tcW w:w="1614" w:type="dxa"/>
            <w:vAlign w:val="center"/>
          </w:tcPr>
          <w:p>
            <w:pPr>
              <w:widowControl/>
              <w:contextualSpacing/>
              <w:jc w:val="center"/>
              <w:rPr>
                <w:rFonts w:hint="eastAsia" w:ascii="仿宋_GB2312" w:hAnsi="CESI仿宋-GB13000" w:cs="CESI仿宋-GB13000"/>
                <w:sz w:val="24"/>
              </w:rPr>
            </w:pPr>
          </w:p>
        </w:tc>
        <w:tc>
          <w:tcPr>
            <w:tcW w:w="3766" w:type="dxa"/>
            <w:vAlign w:val="center"/>
          </w:tcPr>
          <w:p>
            <w:pPr>
              <w:widowControl/>
              <w:contextualSpacing/>
              <w:jc w:val="center"/>
              <w:rPr>
                <w:rFonts w:hint="eastAsia" w:ascii="仿宋_GB2312" w:hAnsi="CESI仿宋-GB13000" w:cs="CESI仿宋-GB13000"/>
                <w:sz w:val="24"/>
              </w:rPr>
            </w:pPr>
          </w:p>
        </w:tc>
      </w:tr>
    </w:tbl>
    <w:p>
      <w:pPr>
        <w:spacing w:line="500" w:lineRule="exact"/>
        <w:rPr>
          <w:rFonts w:hint="default" w:ascii="仿宋_GB2312" w:eastAsia="仿宋_GB2312"/>
          <w:sz w:val="28"/>
          <w:szCs w:val="28"/>
          <w:lang w:val="en-US" w:eastAsia="zh-CN"/>
        </w:rPr>
        <w:sectPr>
          <w:pgSz w:w="11906" w:h="16838"/>
          <w:pgMar w:top="1440" w:right="1800" w:bottom="1440" w:left="1800" w:header="851" w:footer="992" w:gutter="0"/>
          <w:cols w:space="425" w:num="1"/>
          <w:docGrid w:type="lines" w:linePitch="312" w:charSpace="0"/>
        </w:sectPr>
      </w:pPr>
    </w:p>
    <w:p>
      <w:pPr>
        <w:spacing w:line="500" w:lineRule="exact"/>
        <w:rPr>
          <w:rFonts w:hint="eastAsia" w:ascii="仿宋_GB2312" w:eastAsia="仿宋_GB2312"/>
          <w:sz w:val="28"/>
          <w:szCs w:val="28"/>
          <w:lang w:val="en-US" w:eastAsia="zh-CN"/>
        </w:rPr>
      </w:pPr>
      <w:r>
        <w:rPr>
          <w:rFonts w:hint="eastAsia" w:ascii="仿宋_GB2312" w:eastAsia="仿宋_GB2312"/>
          <w:sz w:val="28"/>
          <w:szCs w:val="28"/>
          <w:lang w:val="en-US" w:eastAsia="zh-CN"/>
        </w:rPr>
        <w:t>附件1-2</w:t>
      </w:r>
    </w:p>
    <w:p>
      <w:pPr>
        <w:keepNext w:val="0"/>
        <w:keepLines w:val="0"/>
        <w:pageBreakBefore w:val="0"/>
        <w:widowControl/>
        <w:kinsoku/>
        <w:wordWrap/>
        <w:overflowPunct/>
        <w:topLinePunct w:val="0"/>
        <w:autoSpaceDE/>
        <w:autoSpaceDN/>
        <w:bidi w:val="0"/>
        <w:adjustRightInd/>
        <w:snapToGrid/>
        <w:spacing w:line="560" w:lineRule="exact"/>
        <w:ind w:firstLine="562" w:firstLineChars="200"/>
        <w:contextualSpacing/>
        <w:jc w:val="center"/>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学校</w:t>
      </w:r>
      <w:r>
        <w:rPr>
          <w:rFonts w:hint="eastAsia" w:ascii="仿宋_GB2312" w:hAnsi="仿宋_GB2312" w:eastAsia="仿宋_GB2312" w:cs="仿宋_GB2312"/>
          <w:b/>
          <w:bCs/>
          <w:sz w:val="28"/>
          <w:szCs w:val="28"/>
        </w:rPr>
        <w:t>召开落实“新京十条”协调会议情况表，并提交会议纪要复印件（2022.5-今）</w:t>
      </w:r>
    </w:p>
    <w:tbl>
      <w:tblPr>
        <w:tblStyle w:val="3"/>
        <w:tblpPr w:leftFromText="180" w:rightFromText="180" w:vertAnchor="text" w:horzAnchor="page" w:tblpX="2298" w:tblpY="282"/>
        <w:tblOverlap w:val="never"/>
        <w:tblW w:w="13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1493"/>
        <w:gridCol w:w="1549"/>
        <w:gridCol w:w="1782"/>
        <w:gridCol w:w="2250"/>
        <w:gridCol w:w="4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1" w:type="dxa"/>
            <w:vAlign w:val="center"/>
          </w:tcPr>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序号</w:t>
            </w:r>
          </w:p>
        </w:tc>
        <w:tc>
          <w:tcPr>
            <w:tcW w:w="1493" w:type="dxa"/>
            <w:vAlign w:val="center"/>
          </w:tcPr>
          <w:p>
            <w:pPr>
              <w:widowControl/>
              <w:contextualSpacing/>
              <w:jc w:val="center"/>
              <w:rPr>
                <w:rFonts w:ascii="仿宋_GB2312" w:hAnsi="CESI仿宋-GB13000" w:cs="CESI仿宋-GB13000"/>
                <w:sz w:val="24"/>
              </w:rPr>
            </w:pPr>
            <w:r>
              <w:rPr>
                <w:rFonts w:hint="eastAsia" w:ascii="仿宋_GB2312" w:hAnsi="CESI仿宋-GB13000" w:cs="CESI仿宋-GB13000"/>
                <w:sz w:val="24"/>
              </w:rPr>
              <w:t>会议时间</w:t>
            </w:r>
          </w:p>
        </w:tc>
        <w:tc>
          <w:tcPr>
            <w:tcW w:w="1549" w:type="dxa"/>
            <w:vAlign w:val="center"/>
          </w:tcPr>
          <w:p>
            <w:pPr>
              <w:widowControl/>
              <w:contextualSpacing/>
              <w:jc w:val="center"/>
              <w:rPr>
                <w:rFonts w:ascii="仿宋_GB2312" w:hAnsi="CESI仿宋-GB13000" w:cs="CESI仿宋-GB13000"/>
                <w:sz w:val="24"/>
              </w:rPr>
            </w:pPr>
            <w:r>
              <w:rPr>
                <w:rFonts w:hint="eastAsia" w:ascii="仿宋_GB2312" w:hAnsi="CESI仿宋-GB13000" w:cs="CESI仿宋-GB13000"/>
                <w:sz w:val="24"/>
              </w:rPr>
              <w:t>会议地点</w:t>
            </w:r>
          </w:p>
        </w:tc>
        <w:tc>
          <w:tcPr>
            <w:tcW w:w="1782" w:type="dxa"/>
            <w:vAlign w:val="center"/>
          </w:tcPr>
          <w:p>
            <w:pPr>
              <w:widowControl/>
              <w:contextualSpacing/>
              <w:jc w:val="center"/>
              <w:rPr>
                <w:rFonts w:ascii="仿宋_GB2312" w:hAnsi="CESI仿宋-GB13000" w:cs="CESI仿宋-GB13000"/>
                <w:sz w:val="24"/>
              </w:rPr>
            </w:pPr>
            <w:r>
              <w:rPr>
                <w:rFonts w:hint="eastAsia" w:ascii="仿宋_GB2312" w:hAnsi="CESI仿宋-GB13000" w:cs="CESI仿宋-GB13000"/>
                <w:sz w:val="24"/>
              </w:rPr>
              <w:t>参加人员</w:t>
            </w:r>
          </w:p>
        </w:tc>
        <w:tc>
          <w:tcPr>
            <w:tcW w:w="2250" w:type="dxa"/>
            <w:vAlign w:val="center"/>
          </w:tcPr>
          <w:p>
            <w:pPr>
              <w:widowControl/>
              <w:contextualSpacing/>
              <w:jc w:val="center"/>
              <w:rPr>
                <w:rFonts w:ascii="仿宋_GB2312" w:hAnsi="CESI仿宋-GB13000" w:cs="CESI仿宋-GB13000"/>
                <w:sz w:val="24"/>
              </w:rPr>
            </w:pPr>
            <w:r>
              <w:rPr>
                <w:rFonts w:hint="eastAsia" w:ascii="仿宋_GB2312" w:hAnsi="CESI仿宋-GB13000" w:cs="CESI仿宋-GB13000"/>
                <w:sz w:val="24"/>
              </w:rPr>
              <w:t>会议议题</w:t>
            </w:r>
          </w:p>
        </w:tc>
        <w:tc>
          <w:tcPr>
            <w:tcW w:w="4960" w:type="dxa"/>
            <w:vAlign w:val="center"/>
          </w:tcPr>
          <w:p>
            <w:pPr>
              <w:widowControl/>
              <w:contextualSpacing/>
              <w:jc w:val="center"/>
              <w:rPr>
                <w:rFonts w:ascii="仿宋_GB2312" w:hAnsi="CESI仿宋-GB13000" w:cs="CESI仿宋-GB13000"/>
                <w:sz w:val="24"/>
              </w:rPr>
            </w:pPr>
            <w:r>
              <w:rPr>
                <w:rFonts w:hint="eastAsia" w:ascii="仿宋_GB2312" w:hAnsi="CESI仿宋-GB13000" w:cs="CESI仿宋-GB13000"/>
                <w:sz w:val="24"/>
              </w:rPr>
              <w:t>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1" w:type="dxa"/>
          </w:tcPr>
          <w:p>
            <w:pPr>
              <w:widowControl/>
              <w:contextualSpacing/>
              <w:jc w:val="center"/>
              <w:rPr>
                <w:rFonts w:hint="eastAsia" w:ascii="仿宋_GB2312" w:hAnsi="CESI仿宋-GB13000" w:cs="CESI仿宋-GB13000"/>
                <w:sz w:val="24"/>
              </w:rPr>
            </w:pPr>
          </w:p>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1</w:t>
            </w:r>
          </w:p>
        </w:tc>
        <w:tc>
          <w:tcPr>
            <w:tcW w:w="1493" w:type="dxa"/>
            <w:vAlign w:val="center"/>
          </w:tcPr>
          <w:p>
            <w:pPr>
              <w:widowControl/>
              <w:contextualSpacing/>
              <w:jc w:val="center"/>
              <w:rPr>
                <w:rFonts w:hint="eastAsia" w:ascii="仿宋_GB2312" w:hAnsi="CESI仿宋-GB13000" w:cs="CESI仿宋-GB13000"/>
                <w:sz w:val="24"/>
              </w:rPr>
            </w:pPr>
          </w:p>
        </w:tc>
        <w:tc>
          <w:tcPr>
            <w:tcW w:w="1549" w:type="dxa"/>
            <w:vAlign w:val="center"/>
          </w:tcPr>
          <w:p>
            <w:pPr>
              <w:widowControl/>
              <w:contextualSpacing/>
              <w:jc w:val="center"/>
              <w:rPr>
                <w:rFonts w:hint="eastAsia" w:ascii="仿宋_GB2312" w:hAnsi="CESI仿宋-GB13000" w:cs="CESI仿宋-GB13000"/>
                <w:sz w:val="24"/>
              </w:rPr>
            </w:pPr>
          </w:p>
        </w:tc>
        <w:tc>
          <w:tcPr>
            <w:tcW w:w="1782" w:type="dxa"/>
            <w:vAlign w:val="center"/>
          </w:tcPr>
          <w:p>
            <w:pPr>
              <w:widowControl/>
              <w:contextualSpacing/>
              <w:jc w:val="center"/>
              <w:rPr>
                <w:rFonts w:hint="eastAsia" w:ascii="仿宋_GB2312" w:hAnsi="CESI仿宋-GB13000" w:cs="CESI仿宋-GB13000"/>
                <w:sz w:val="24"/>
              </w:rPr>
            </w:pPr>
          </w:p>
        </w:tc>
        <w:tc>
          <w:tcPr>
            <w:tcW w:w="2250" w:type="dxa"/>
            <w:vAlign w:val="center"/>
          </w:tcPr>
          <w:p>
            <w:pPr>
              <w:widowControl/>
              <w:contextualSpacing/>
              <w:jc w:val="center"/>
              <w:rPr>
                <w:rFonts w:hint="eastAsia" w:ascii="仿宋_GB2312" w:hAnsi="CESI仿宋-GB13000" w:cs="CESI仿宋-GB13000"/>
                <w:sz w:val="24"/>
              </w:rPr>
            </w:pPr>
          </w:p>
        </w:tc>
        <w:tc>
          <w:tcPr>
            <w:tcW w:w="4960"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1" w:type="dxa"/>
          </w:tcPr>
          <w:p>
            <w:pPr>
              <w:widowControl/>
              <w:contextualSpacing/>
              <w:jc w:val="center"/>
              <w:rPr>
                <w:rFonts w:hint="eastAsia" w:ascii="仿宋_GB2312" w:hAnsi="CESI仿宋-GB13000" w:cs="CESI仿宋-GB13000"/>
                <w:sz w:val="24"/>
              </w:rPr>
            </w:pPr>
            <w:r>
              <w:rPr>
                <w:rFonts w:hint="eastAsia" w:ascii="仿宋_GB2312" w:hAnsi="CESI仿宋-GB13000" w:cs="CESI仿宋-GB13000"/>
                <w:sz w:val="24"/>
              </w:rPr>
              <w:t>……</w:t>
            </w:r>
          </w:p>
        </w:tc>
        <w:tc>
          <w:tcPr>
            <w:tcW w:w="1493" w:type="dxa"/>
            <w:vAlign w:val="center"/>
          </w:tcPr>
          <w:p>
            <w:pPr>
              <w:widowControl/>
              <w:contextualSpacing/>
              <w:jc w:val="center"/>
              <w:rPr>
                <w:rFonts w:hint="eastAsia" w:ascii="仿宋_GB2312" w:hAnsi="CESI仿宋-GB13000" w:cs="CESI仿宋-GB13000"/>
                <w:sz w:val="24"/>
              </w:rPr>
            </w:pPr>
          </w:p>
        </w:tc>
        <w:tc>
          <w:tcPr>
            <w:tcW w:w="1549" w:type="dxa"/>
            <w:vAlign w:val="center"/>
          </w:tcPr>
          <w:p>
            <w:pPr>
              <w:widowControl/>
              <w:contextualSpacing/>
              <w:jc w:val="center"/>
              <w:rPr>
                <w:rFonts w:hint="eastAsia" w:ascii="仿宋_GB2312" w:hAnsi="CESI仿宋-GB13000" w:cs="CESI仿宋-GB13000"/>
                <w:sz w:val="24"/>
              </w:rPr>
            </w:pPr>
          </w:p>
        </w:tc>
        <w:tc>
          <w:tcPr>
            <w:tcW w:w="1782" w:type="dxa"/>
            <w:vAlign w:val="center"/>
          </w:tcPr>
          <w:p>
            <w:pPr>
              <w:widowControl/>
              <w:contextualSpacing/>
              <w:jc w:val="center"/>
              <w:rPr>
                <w:rFonts w:hint="eastAsia" w:ascii="仿宋_GB2312" w:hAnsi="CESI仿宋-GB13000" w:cs="CESI仿宋-GB13000"/>
                <w:sz w:val="24"/>
              </w:rPr>
            </w:pPr>
          </w:p>
        </w:tc>
        <w:tc>
          <w:tcPr>
            <w:tcW w:w="2250" w:type="dxa"/>
            <w:vAlign w:val="center"/>
          </w:tcPr>
          <w:p>
            <w:pPr>
              <w:widowControl/>
              <w:contextualSpacing/>
              <w:jc w:val="center"/>
              <w:rPr>
                <w:rFonts w:hint="eastAsia" w:ascii="仿宋_GB2312" w:hAnsi="CESI仿宋-GB13000" w:cs="CESI仿宋-GB13000"/>
                <w:sz w:val="24"/>
              </w:rPr>
            </w:pPr>
          </w:p>
        </w:tc>
        <w:tc>
          <w:tcPr>
            <w:tcW w:w="4960"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1" w:type="dxa"/>
          </w:tcPr>
          <w:p>
            <w:pPr>
              <w:widowControl/>
              <w:contextualSpacing/>
              <w:jc w:val="center"/>
              <w:rPr>
                <w:rFonts w:hint="eastAsia" w:ascii="仿宋_GB2312" w:hAnsi="CESI仿宋-GB13000" w:cs="CESI仿宋-GB13000"/>
                <w:sz w:val="24"/>
              </w:rPr>
            </w:pPr>
          </w:p>
        </w:tc>
        <w:tc>
          <w:tcPr>
            <w:tcW w:w="1493" w:type="dxa"/>
            <w:vAlign w:val="center"/>
          </w:tcPr>
          <w:p>
            <w:pPr>
              <w:widowControl/>
              <w:contextualSpacing/>
              <w:jc w:val="center"/>
              <w:rPr>
                <w:rFonts w:hint="eastAsia" w:ascii="仿宋_GB2312" w:hAnsi="CESI仿宋-GB13000" w:cs="CESI仿宋-GB13000"/>
                <w:sz w:val="24"/>
              </w:rPr>
            </w:pPr>
          </w:p>
        </w:tc>
        <w:tc>
          <w:tcPr>
            <w:tcW w:w="1549" w:type="dxa"/>
            <w:vAlign w:val="center"/>
          </w:tcPr>
          <w:p>
            <w:pPr>
              <w:widowControl/>
              <w:contextualSpacing/>
              <w:jc w:val="center"/>
              <w:rPr>
                <w:rFonts w:hint="eastAsia" w:ascii="仿宋_GB2312" w:hAnsi="CESI仿宋-GB13000" w:cs="CESI仿宋-GB13000"/>
                <w:sz w:val="24"/>
              </w:rPr>
            </w:pPr>
          </w:p>
        </w:tc>
        <w:tc>
          <w:tcPr>
            <w:tcW w:w="1782" w:type="dxa"/>
            <w:vAlign w:val="center"/>
          </w:tcPr>
          <w:p>
            <w:pPr>
              <w:widowControl/>
              <w:contextualSpacing/>
              <w:jc w:val="center"/>
              <w:rPr>
                <w:rFonts w:hint="eastAsia" w:ascii="仿宋_GB2312" w:hAnsi="CESI仿宋-GB13000" w:cs="CESI仿宋-GB13000"/>
                <w:sz w:val="24"/>
              </w:rPr>
            </w:pPr>
          </w:p>
        </w:tc>
        <w:tc>
          <w:tcPr>
            <w:tcW w:w="2250" w:type="dxa"/>
            <w:vAlign w:val="center"/>
          </w:tcPr>
          <w:p>
            <w:pPr>
              <w:widowControl/>
              <w:contextualSpacing/>
              <w:jc w:val="center"/>
              <w:rPr>
                <w:rFonts w:hint="eastAsia" w:ascii="仿宋_GB2312" w:hAnsi="CESI仿宋-GB13000" w:cs="CESI仿宋-GB13000"/>
                <w:sz w:val="24"/>
              </w:rPr>
            </w:pPr>
          </w:p>
        </w:tc>
        <w:tc>
          <w:tcPr>
            <w:tcW w:w="4960"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31" w:type="dxa"/>
          </w:tcPr>
          <w:p>
            <w:pPr>
              <w:widowControl/>
              <w:contextualSpacing/>
              <w:jc w:val="center"/>
              <w:rPr>
                <w:rFonts w:hint="eastAsia" w:ascii="仿宋_GB2312" w:hAnsi="CESI仿宋-GB13000" w:cs="CESI仿宋-GB13000"/>
                <w:sz w:val="24"/>
              </w:rPr>
            </w:pPr>
          </w:p>
        </w:tc>
        <w:tc>
          <w:tcPr>
            <w:tcW w:w="1493" w:type="dxa"/>
            <w:vAlign w:val="center"/>
          </w:tcPr>
          <w:p>
            <w:pPr>
              <w:widowControl/>
              <w:contextualSpacing/>
              <w:jc w:val="center"/>
              <w:rPr>
                <w:rFonts w:hint="eastAsia" w:ascii="仿宋_GB2312" w:hAnsi="CESI仿宋-GB13000" w:cs="CESI仿宋-GB13000"/>
                <w:sz w:val="24"/>
              </w:rPr>
            </w:pPr>
          </w:p>
        </w:tc>
        <w:tc>
          <w:tcPr>
            <w:tcW w:w="1549" w:type="dxa"/>
            <w:vAlign w:val="center"/>
          </w:tcPr>
          <w:p>
            <w:pPr>
              <w:widowControl/>
              <w:contextualSpacing/>
              <w:jc w:val="center"/>
              <w:rPr>
                <w:rFonts w:hint="eastAsia" w:ascii="仿宋_GB2312" w:hAnsi="CESI仿宋-GB13000" w:cs="CESI仿宋-GB13000"/>
                <w:sz w:val="24"/>
              </w:rPr>
            </w:pPr>
          </w:p>
        </w:tc>
        <w:tc>
          <w:tcPr>
            <w:tcW w:w="1782" w:type="dxa"/>
            <w:vAlign w:val="center"/>
          </w:tcPr>
          <w:p>
            <w:pPr>
              <w:widowControl/>
              <w:contextualSpacing/>
              <w:jc w:val="center"/>
              <w:rPr>
                <w:rFonts w:hint="eastAsia" w:ascii="仿宋_GB2312" w:hAnsi="CESI仿宋-GB13000" w:cs="CESI仿宋-GB13000"/>
                <w:sz w:val="24"/>
              </w:rPr>
            </w:pPr>
          </w:p>
        </w:tc>
        <w:tc>
          <w:tcPr>
            <w:tcW w:w="2250" w:type="dxa"/>
            <w:vAlign w:val="center"/>
          </w:tcPr>
          <w:p>
            <w:pPr>
              <w:widowControl/>
              <w:contextualSpacing/>
              <w:jc w:val="center"/>
              <w:rPr>
                <w:rFonts w:hint="eastAsia" w:ascii="仿宋_GB2312" w:hAnsi="CESI仿宋-GB13000" w:cs="CESI仿宋-GB13000"/>
                <w:sz w:val="24"/>
              </w:rPr>
            </w:pPr>
          </w:p>
        </w:tc>
        <w:tc>
          <w:tcPr>
            <w:tcW w:w="4960" w:type="dxa"/>
            <w:vAlign w:val="center"/>
          </w:tcPr>
          <w:p>
            <w:pPr>
              <w:widowControl/>
              <w:contextualSpacing/>
              <w:jc w:val="center"/>
              <w:rPr>
                <w:rFonts w:hint="eastAsia" w:ascii="仿宋_GB2312" w:hAnsi="CESI仿宋-GB13000" w:cs="CESI仿宋-GB13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31" w:type="dxa"/>
          </w:tcPr>
          <w:p>
            <w:pPr>
              <w:widowControl/>
              <w:contextualSpacing/>
              <w:jc w:val="center"/>
              <w:rPr>
                <w:rFonts w:hint="eastAsia" w:ascii="仿宋_GB2312" w:hAnsi="CESI仿宋-GB13000" w:cs="CESI仿宋-GB13000"/>
                <w:sz w:val="24"/>
              </w:rPr>
            </w:pPr>
          </w:p>
        </w:tc>
        <w:tc>
          <w:tcPr>
            <w:tcW w:w="1493" w:type="dxa"/>
            <w:vAlign w:val="center"/>
          </w:tcPr>
          <w:p>
            <w:pPr>
              <w:widowControl/>
              <w:contextualSpacing/>
              <w:jc w:val="center"/>
              <w:rPr>
                <w:rFonts w:hint="eastAsia" w:ascii="仿宋_GB2312" w:hAnsi="CESI仿宋-GB13000" w:cs="CESI仿宋-GB13000"/>
                <w:sz w:val="24"/>
              </w:rPr>
            </w:pPr>
          </w:p>
        </w:tc>
        <w:tc>
          <w:tcPr>
            <w:tcW w:w="1549" w:type="dxa"/>
            <w:vAlign w:val="center"/>
          </w:tcPr>
          <w:p>
            <w:pPr>
              <w:widowControl/>
              <w:contextualSpacing/>
              <w:jc w:val="center"/>
              <w:rPr>
                <w:rFonts w:hint="eastAsia" w:ascii="仿宋_GB2312" w:hAnsi="CESI仿宋-GB13000" w:cs="CESI仿宋-GB13000"/>
                <w:sz w:val="24"/>
              </w:rPr>
            </w:pPr>
          </w:p>
        </w:tc>
        <w:tc>
          <w:tcPr>
            <w:tcW w:w="1782" w:type="dxa"/>
            <w:vAlign w:val="center"/>
          </w:tcPr>
          <w:p>
            <w:pPr>
              <w:widowControl/>
              <w:contextualSpacing/>
              <w:jc w:val="center"/>
              <w:rPr>
                <w:rFonts w:hint="eastAsia" w:ascii="仿宋_GB2312" w:hAnsi="CESI仿宋-GB13000" w:cs="CESI仿宋-GB13000"/>
                <w:sz w:val="24"/>
              </w:rPr>
            </w:pPr>
          </w:p>
        </w:tc>
        <w:tc>
          <w:tcPr>
            <w:tcW w:w="2250" w:type="dxa"/>
            <w:vAlign w:val="center"/>
          </w:tcPr>
          <w:p>
            <w:pPr>
              <w:widowControl/>
              <w:contextualSpacing/>
              <w:jc w:val="center"/>
              <w:rPr>
                <w:rFonts w:hint="eastAsia" w:ascii="仿宋_GB2312" w:hAnsi="CESI仿宋-GB13000" w:cs="CESI仿宋-GB13000"/>
                <w:sz w:val="24"/>
              </w:rPr>
            </w:pPr>
          </w:p>
        </w:tc>
        <w:tc>
          <w:tcPr>
            <w:tcW w:w="4960" w:type="dxa"/>
            <w:vAlign w:val="center"/>
          </w:tcPr>
          <w:p>
            <w:pPr>
              <w:widowControl/>
              <w:contextualSpacing/>
              <w:jc w:val="center"/>
              <w:rPr>
                <w:rFonts w:hint="eastAsia" w:ascii="仿宋_GB2312" w:hAnsi="CESI仿宋-GB13000" w:cs="CESI仿宋-GB13000"/>
                <w:sz w:val="24"/>
              </w:rPr>
            </w:pPr>
          </w:p>
        </w:tc>
      </w:tr>
    </w:tbl>
    <w:p>
      <w:pPr>
        <w:spacing w:line="500" w:lineRule="exact"/>
        <w:rPr>
          <w:rFonts w:hint="default" w:ascii="仿宋_GB2312" w:eastAsia="仿宋_GB2312"/>
          <w:sz w:val="28"/>
          <w:szCs w:val="28"/>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ESI仿宋-GB13000">
    <w:altName w:val="Microsoft YaHei UI"/>
    <w:panose1 w:val="00000000000000000000"/>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jY0ZWM0Mjk2NjEwNWRhZWE3Y2IxYzhlODA4MmMifQ=="/>
  </w:docVars>
  <w:rsids>
    <w:rsidRoot w:val="00BD070B"/>
    <w:rsid w:val="000508C8"/>
    <w:rsid w:val="000773A7"/>
    <w:rsid w:val="000F158B"/>
    <w:rsid w:val="0031757D"/>
    <w:rsid w:val="005606C2"/>
    <w:rsid w:val="00863B9F"/>
    <w:rsid w:val="00BD070B"/>
    <w:rsid w:val="04052A3B"/>
    <w:rsid w:val="152F27A7"/>
    <w:rsid w:val="18730A0F"/>
    <w:rsid w:val="199D7397"/>
    <w:rsid w:val="238D5AB9"/>
    <w:rsid w:val="243D7494"/>
    <w:rsid w:val="25F767DC"/>
    <w:rsid w:val="2F4131BE"/>
    <w:rsid w:val="338C3D33"/>
    <w:rsid w:val="3872345F"/>
    <w:rsid w:val="39B35120"/>
    <w:rsid w:val="3C410461"/>
    <w:rsid w:val="3F5A5C29"/>
    <w:rsid w:val="40214CFA"/>
    <w:rsid w:val="4507520B"/>
    <w:rsid w:val="46816169"/>
    <w:rsid w:val="49AA1621"/>
    <w:rsid w:val="53E53F63"/>
    <w:rsid w:val="567A7A0A"/>
    <w:rsid w:val="576710F7"/>
    <w:rsid w:val="57805D82"/>
    <w:rsid w:val="583354EA"/>
    <w:rsid w:val="5BF56AE1"/>
    <w:rsid w:val="642F4B9E"/>
    <w:rsid w:val="736D3AA6"/>
    <w:rsid w:val="77F51F25"/>
    <w:rsid w:val="7C9C1906"/>
    <w:rsid w:val="7E984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
    <w:qFormat/>
    <w:uiPriority w:val="9"/>
    <w:pPr>
      <w:widowControl/>
      <w:spacing w:before="100" w:beforeAutospacing="1" w:after="100" w:afterAutospacing="1"/>
      <w:jc w:val="left"/>
      <w:outlineLvl w:val="0"/>
    </w:pPr>
    <w:rPr>
      <w:rFonts w:ascii="宋体" w:hAnsi="宋体" w:eastAsia="黑体" w:cs="宋体"/>
      <w:b/>
      <w:bCs/>
      <w:kern w:val="36"/>
      <w:sz w:val="32"/>
      <w:szCs w:val="48"/>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1 字符"/>
    <w:basedOn w:val="4"/>
    <w:link w:val="2"/>
    <w:qFormat/>
    <w:uiPriority w:val="9"/>
    <w:rPr>
      <w:rFonts w:ascii="宋体" w:hAnsi="宋体" w:eastAsia="黑体" w:cs="宋体"/>
      <w:b/>
      <w:bCs/>
      <w:kern w:val="36"/>
      <w:sz w:val="32"/>
      <w:szCs w:val="48"/>
    </w:rPr>
  </w:style>
  <w:style w:type="paragraph" w:styleId="6">
    <w:name w:val="List Paragraph"/>
    <w:basedOn w:val="1"/>
    <w:qFormat/>
    <w:uiPriority w:val="99"/>
    <w:pPr>
      <w:ind w:firstLine="420" w:firstLineChars="200"/>
    </w:pPr>
    <w:rPr>
      <w:rFonts w:ascii="Times New Roman" w:hAnsi="Times New Roman" w:eastAsia="仿宋_GB2312" w:cs="Times New Roman"/>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1421</Words>
  <Characters>1461</Characters>
  <Lines>8</Lines>
  <Paragraphs>2</Paragraphs>
  <TotalTime>2</TotalTime>
  <ScaleCrop>false</ScaleCrop>
  <LinksUpToDate>false</LinksUpToDate>
  <CharactersWithSpaces>1461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2023-06-30T05:23:00Z</dcterms:created>
  <dc:creator>JJ</dc:creator>
  <cp:lastModifiedBy>capricorn</cp:lastModifiedBy>
  <dcterms:modified xsi:type="dcterms:W3CDTF">2023-07-02T02:43:07Z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C411AA549EFF4F5EAC55EA1B2E6C6A16_12</vt:lpwstr>
  </property>
</Properties>
</file>