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94"/>
        <w:gridCol w:w="530"/>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eastAsia="方正小标宋简体"/>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vAlign w:val="center"/>
          </w:tcPr>
          <w:p>
            <w:pPr>
              <w:spacing w:line="540" w:lineRule="exact"/>
              <w:jc w:val="center"/>
              <w:rPr>
                <w:rFonts w:ascii="仿宋_GB2312" w:hAnsi="宋体" w:eastAsia="仿宋_GB2312"/>
                <w:color w:val="FF0000"/>
                <w:sz w:val="32"/>
                <w:szCs w:val="32"/>
              </w:rPr>
            </w:pPr>
          </w:p>
        </w:tc>
      </w:tr>
    </w:tbl>
    <w:p>
      <w:pPr>
        <w:jc w:val="center"/>
        <w:rPr>
          <w:rFonts w:ascii="楷体_GB2312" w:eastAsia="楷体_GB2312"/>
          <w:sz w:val="32"/>
          <w:szCs w:val="32"/>
        </w:rPr>
      </w:pPr>
      <w:r>
        <w:rPr>
          <w:rFonts w:hint="eastAsia" w:ascii="仿宋_GB2312" w:eastAsia="仿宋_GB2312"/>
          <w:sz w:val="32"/>
          <w:szCs w:val="32"/>
        </w:rPr>
        <w:t>院发〔2025〕</w:t>
      </w:r>
      <w:r>
        <w:rPr>
          <w:rFonts w:hint="eastAsia" w:ascii="仿宋_GB2312" w:eastAsia="仿宋_GB2312"/>
          <w:sz w:val="32"/>
          <w:szCs w:val="32"/>
          <w:lang w:val="en-US" w:eastAsia="zh-CN"/>
        </w:rPr>
        <w:t>14</w:t>
      </w:r>
      <w:r>
        <w:rPr>
          <w:rFonts w:hint="eastAsia" w:ascii="仿宋_GB2312" w:eastAsia="仿宋_GB2312"/>
          <w:sz w:val="32"/>
          <w:szCs w:val="32"/>
        </w:rPr>
        <w:t>号</w:t>
      </w:r>
    </w:p>
    <w:p>
      <w:pPr>
        <w:spacing w:line="520" w:lineRule="exact"/>
        <w:jc w:val="center"/>
        <w:rPr>
          <w:rFonts w:ascii="方正小标宋简体" w:hAnsi="宋体" w:eastAsia="方正小标宋简体" w:cs="宋体"/>
          <w:bCs/>
          <w:sz w:val="44"/>
          <w:szCs w:val="44"/>
        </w:rPr>
      </w:pPr>
      <w:r>
        <w:rPr>
          <w:rFonts w:ascii="Times New Roman" w:hAnsi="Times New Roman" w:eastAsia="宋体" w:cs="Times New Roman"/>
          <w:szCs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98425</wp:posOffset>
                </wp:positionV>
                <wp:extent cx="582930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9pt;margin-top:7.75pt;height:0pt;width:459pt;z-index:251660288;mso-width-relative:page;mso-height-relative:page;" filled="f" stroked="t" coordsize="21600,21600" o:gfxdata="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lF9mx1wAA&#10;AAkBAAAPAAAAAAAAAAEAIAAAACIAAABkcnMvZG93bnJldi54bWxQSwECFAAUAAAACACHTuJABfC6&#10;y+YBAACrAwAADgAAAAAAAAABACAAAAAmAQAAZHJzL2Uyb0RvYy54bWxQSwUGAAAAAAYABgBZAQAA&#10;fg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北京青年政治学院关于印发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《北京青年政治学院非实体性研究机构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管理办法</w:t>
      </w:r>
      <w:r>
        <w:rPr>
          <w:rFonts w:ascii="方正小标宋简体" w:hAnsi="宋体" w:eastAsia="方正小标宋简体" w:cs="宋体"/>
          <w:bCs/>
          <w:sz w:val="44"/>
          <w:szCs w:val="44"/>
        </w:rPr>
        <w:t>》</w:t>
      </w:r>
      <w:r>
        <w:rPr>
          <w:rFonts w:hint="eastAsia" w:ascii="方正小标宋简体" w:hAnsi="宋体" w:eastAsia="方正小标宋简体" w:cs="宋体"/>
          <w:bCs/>
          <w:sz w:val="44"/>
          <w:szCs w:val="44"/>
        </w:rPr>
        <w:t>的通知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Calibri" w:eastAsia="仿宋_GB2312"/>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ascii="楷体_GB2312" w:hAnsi="宋体" w:eastAsia="楷体_GB2312"/>
          <w:sz w:val="32"/>
          <w:szCs w:val="32"/>
        </w:rPr>
      </w:pPr>
      <w:r>
        <w:rPr>
          <w:rFonts w:hint="eastAsia" w:ascii="楷体_GB2312" w:hAnsi="宋体" w:eastAsia="楷体_GB2312"/>
          <w:sz w:val="32"/>
          <w:szCs w:val="32"/>
        </w:rPr>
        <w:t>各部门</w:t>
      </w:r>
      <w:r>
        <w:rPr>
          <w:rFonts w:ascii="楷体_GB2312" w:hAnsi="宋体" w:eastAsia="楷体_GB2312"/>
          <w:sz w:val="32"/>
          <w:szCs w:val="32"/>
        </w:rPr>
        <w:t>、</w:t>
      </w:r>
      <w:r>
        <w:rPr>
          <w:rFonts w:hint="eastAsia" w:ascii="楷体_GB2312" w:hAnsi="宋体" w:eastAsia="楷体_GB2312"/>
          <w:sz w:val="32"/>
          <w:szCs w:val="32"/>
        </w:rPr>
        <w:t>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宋体" w:eastAsia="楷体_GB2312"/>
          <w:sz w:val="32"/>
          <w:szCs w:val="32"/>
        </w:rPr>
      </w:pPr>
      <w:r>
        <w:rPr>
          <w:rFonts w:hint="eastAsia" w:ascii="楷体_GB2312" w:hAnsi="宋体" w:eastAsia="楷体_GB2312"/>
          <w:sz w:val="32"/>
          <w:szCs w:val="32"/>
        </w:rPr>
        <w:t>《北京青年政治学院非实体性研究机构管理办法</w:t>
      </w:r>
      <w:r>
        <w:rPr>
          <w:rFonts w:ascii="楷体_GB2312" w:hAnsi="宋体" w:eastAsia="楷体_GB2312"/>
          <w:sz w:val="32"/>
          <w:szCs w:val="32"/>
        </w:rPr>
        <w:t>》</w:t>
      </w:r>
      <w:r>
        <w:rPr>
          <w:rFonts w:hint="eastAsia" w:ascii="楷体_GB2312" w:hAnsi="宋体" w:eastAsia="楷体_GB2312"/>
          <w:sz w:val="32"/>
          <w:szCs w:val="32"/>
        </w:rPr>
        <w:t>经2</w:t>
      </w:r>
      <w:r>
        <w:rPr>
          <w:rFonts w:ascii="楷体_GB2312" w:hAnsi="宋体" w:eastAsia="楷体_GB2312"/>
          <w:sz w:val="32"/>
          <w:szCs w:val="32"/>
        </w:rPr>
        <w:t>02</w:t>
      </w:r>
      <w:r>
        <w:rPr>
          <w:rFonts w:hint="eastAsia" w:ascii="楷体_GB2312" w:hAnsi="宋体" w:eastAsia="楷体_GB2312"/>
          <w:sz w:val="32"/>
          <w:szCs w:val="32"/>
        </w:rPr>
        <w:t>5年第13次院长办公会审议通过，现印发给你们，请认真遵照执行。</w:t>
      </w:r>
    </w:p>
    <w:p>
      <w:pPr>
        <w:keepNext w:val="0"/>
        <w:keepLines w:val="0"/>
        <w:pageBreakBefore w:val="0"/>
        <w:kinsoku/>
        <w:wordWrap/>
        <w:overflowPunct/>
        <w:topLinePunct w:val="0"/>
        <w:autoSpaceDE/>
        <w:autoSpaceDN/>
        <w:bidi w:val="0"/>
        <w:adjustRightInd/>
        <w:snapToGrid/>
        <w:spacing w:line="560" w:lineRule="exact"/>
        <w:ind w:left="3559" w:leftChars="1695" w:firstLine="1440" w:firstLineChars="450"/>
        <w:jc w:val="left"/>
        <w:textAlignment w:val="auto"/>
        <w:rPr>
          <w:rFonts w:ascii="仿宋_GB2312" w:hAnsi="Calibri"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3559" w:leftChars="1695" w:firstLine="1440" w:firstLineChars="450"/>
        <w:jc w:val="left"/>
        <w:textAlignment w:val="auto"/>
        <w:rPr>
          <w:rFonts w:ascii="仿宋_GB2312" w:hAnsi="Calibri"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4480" w:firstLineChars="1400"/>
        <w:jc w:val="left"/>
        <w:textAlignment w:val="auto"/>
        <w:rPr>
          <w:rFonts w:ascii="楷体_GB2312" w:hAnsi="宋体" w:eastAsia="楷体_GB2312"/>
          <w:sz w:val="32"/>
          <w:szCs w:val="32"/>
        </w:rPr>
      </w:pPr>
      <w:r>
        <w:rPr>
          <w:rFonts w:hint="eastAsia" w:ascii="楷体_GB2312" w:hAnsi="宋体" w:eastAsia="楷体_GB2312"/>
          <w:sz w:val="32"/>
          <w:szCs w:val="32"/>
        </w:rPr>
        <w:t>北京青年政治学院</w:t>
      </w:r>
    </w:p>
    <w:p>
      <w:pPr>
        <w:keepNext w:val="0"/>
        <w:keepLines w:val="0"/>
        <w:pageBreakBefore w:val="0"/>
        <w:kinsoku/>
        <w:wordWrap/>
        <w:overflowPunct/>
        <w:topLinePunct w:val="0"/>
        <w:autoSpaceDE/>
        <w:autoSpaceDN/>
        <w:bidi w:val="0"/>
        <w:adjustRightInd/>
        <w:snapToGrid/>
        <w:spacing w:line="560" w:lineRule="exact"/>
        <w:ind w:firstLine="4480" w:firstLineChars="1400"/>
        <w:jc w:val="left"/>
        <w:textAlignment w:val="auto"/>
        <w:rPr>
          <w:rFonts w:ascii="方正小标宋简体" w:eastAsia="方正小标宋简体"/>
          <w:sz w:val="44"/>
          <w:szCs w:val="44"/>
        </w:rPr>
      </w:pPr>
      <w:r>
        <w:rPr>
          <w:rFonts w:hint="eastAsia" w:ascii="楷体_GB2312" w:hAnsi="宋体" w:eastAsia="楷体_GB2312"/>
          <w:sz w:val="32"/>
          <w:szCs w:val="32"/>
        </w:rPr>
        <w:t>2025年5月26日</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小标宋简体" w:eastAsia="方正小标宋简体"/>
          <w:sz w:val="44"/>
          <w:szCs w:val="44"/>
        </w:rPr>
      </w:pPr>
      <w:r>
        <w:rPr>
          <w:rFonts w:ascii="方正小标宋简体" w:eastAsia="方正小标宋简体"/>
          <w:sz w:val="44"/>
          <w:szCs w:val="44"/>
        </w:rPr>
        <w:br w:type="page"/>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北京青年政治学院</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bCs/>
          <w:color w:val="000000"/>
          <w:kern w:val="0"/>
          <w:sz w:val="32"/>
          <w:szCs w:val="32"/>
        </w:rPr>
      </w:pPr>
      <w:r>
        <w:rPr>
          <w:rFonts w:hint="eastAsia" w:ascii="方正小标宋简体" w:hAnsi="方正小标宋简体" w:eastAsia="方正小标宋简体" w:cs="方正小标宋简体"/>
          <w:sz w:val="44"/>
          <w:szCs w:val="44"/>
        </w:rPr>
        <w:t>非实体性研究机构管理办法</w:t>
      </w:r>
    </w:p>
    <w:p>
      <w:pPr>
        <w:keepNext w:val="0"/>
        <w:keepLines w:val="0"/>
        <w:pageBreakBefore w:val="0"/>
        <w:widowControl w:val="0"/>
        <w:tabs>
          <w:tab w:val="left" w:pos="630"/>
        </w:tabs>
        <w:kinsoku/>
        <w:wordWrap/>
        <w:overflowPunct/>
        <w:topLinePunct w:val="0"/>
        <w:autoSpaceDE/>
        <w:autoSpaceDN/>
        <w:bidi w:val="0"/>
        <w:adjustRightInd w:val="0"/>
        <w:snapToGrid w:val="0"/>
        <w:spacing w:before="313" w:beforeLines="100" w:line="560" w:lineRule="exact"/>
        <w:ind w:firstLine="640" w:firstLineChars="200"/>
        <w:jc w:val="center"/>
        <w:textAlignment w:val="auto"/>
        <w:rPr>
          <w:rFonts w:ascii="仿宋_GB2312" w:hAnsi="微软雅黑" w:eastAsia="仿宋_GB2312" w:cs="仿宋_GB2312"/>
          <w:color w:val="000000"/>
          <w:kern w:val="0"/>
          <w:sz w:val="32"/>
          <w:szCs w:val="32"/>
          <w:shd w:val="clear" w:color="auto" w:fill="FFFFFF"/>
          <w:lang w:bidi="ar"/>
        </w:rPr>
      </w:pPr>
      <w:r>
        <w:rPr>
          <w:rFonts w:hint="eastAsia" w:ascii="仿宋_GB2312" w:hAnsi="仿宋_GB2312" w:eastAsia="仿宋_GB2312" w:cs="仿宋_GB2312"/>
          <w:bCs/>
          <w:color w:val="000000"/>
          <w:kern w:val="0"/>
          <w:sz w:val="32"/>
          <w:szCs w:val="32"/>
        </w:rPr>
        <w:t>（</w:t>
      </w:r>
      <w:r>
        <w:rPr>
          <w:rFonts w:hint="eastAsia" w:ascii="仿宋_GB2312" w:hAnsi="微软雅黑" w:eastAsia="仿宋_GB2312" w:cs="仿宋_GB2312"/>
          <w:color w:val="000000"/>
          <w:kern w:val="0"/>
          <w:sz w:val="32"/>
          <w:szCs w:val="32"/>
          <w:shd w:val="clear" w:color="auto" w:fill="FFFFFF"/>
          <w:lang w:bidi="ar"/>
        </w:rPr>
        <w:t>2025年5月23日2</w:t>
      </w:r>
      <w:r>
        <w:rPr>
          <w:rFonts w:ascii="仿宋_GB2312" w:hAnsi="微软雅黑" w:eastAsia="仿宋_GB2312" w:cs="仿宋_GB2312"/>
          <w:color w:val="000000"/>
          <w:kern w:val="0"/>
          <w:sz w:val="32"/>
          <w:szCs w:val="32"/>
          <w:shd w:val="clear" w:color="auto" w:fill="FFFFFF"/>
          <w:lang w:bidi="ar"/>
        </w:rPr>
        <w:t>02</w:t>
      </w:r>
      <w:r>
        <w:rPr>
          <w:rFonts w:hint="eastAsia" w:ascii="仿宋_GB2312" w:hAnsi="微软雅黑" w:eastAsia="仿宋_GB2312" w:cs="仿宋_GB2312"/>
          <w:color w:val="000000"/>
          <w:kern w:val="0"/>
          <w:sz w:val="32"/>
          <w:szCs w:val="32"/>
          <w:shd w:val="clear" w:color="auto" w:fill="FFFFFF"/>
          <w:lang w:bidi="ar"/>
        </w:rPr>
        <w:t>5年第13次院长办公会议</w:t>
      </w:r>
    </w:p>
    <w:p>
      <w:pPr>
        <w:keepNext w:val="0"/>
        <w:keepLines w:val="0"/>
        <w:pageBreakBefore w:val="0"/>
        <w:tabs>
          <w:tab w:val="left" w:pos="630"/>
        </w:tabs>
        <w:kinsoku/>
        <w:wordWrap/>
        <w:overflowPunct/>
        <w:topLinePunct w:val="0"/>
        <w:autoSpaceDE/>
        <w:autoSpaceDN/>
        <w:bidi w:val="0"/>
        <w:adjustRightInd w:val="0"/>
        <w:snapToGrid w:val="0"/>
        <w:spacing w:line="560" w:lineRule="exact"/>
        <w:ind w:firstLine="640" w:firstLineChars="200"/>
        <w:jc w:val="center"/>
        <w:textAlignment w:val="auto"/>
        <w:rPr>
          <w:rStyle w:val="11"/>
          <w:rFonts w:ascii="仿宋_GB2312" w:hAnsi="仿宋_GB2312" w:eastAsia="仿宋_GB2312" w:cs="仿宋_GB2312"/>
          <w:kern w:val="0"/>
          <w:sz w:val="32"/>
          <w:szCs w:val="32"/>
          <w:lang w:bidi="ar"/>
        </w:rPr>
      </w:pPr>
      <w:r>
        <w:rPr>
          <w:rFonts w:hint="eastAsia" w:ascii="仿宋_GB2312" w:hAnsi="微软雅黑" w:eastAsia="仿宋_GB2312" w:cs="仿宋_GB2312"/>
          <w:color w:val="000000"/>
          <w:kern w:val="0"/>
          <w:sz w:val="32"/>
          <w:szCs w:val="32"/>
          <w:shd w:val="clear" w:color="auto" w:fill="FFFFFF"/>
          <w:lang w:bidi="ar"/>
        </w:rPr>
        <w:t>通过</w:t>
      </w:r>
      <w:r>
        <w:rPr>
          <w:rFonts w:hint="eastAsia" w:ascii="仿宋_GB2312" w:hAnsi="仿宋_GB2312" w:eastAsia="仿宋_GB2312" w:cs="仿宋_GB2312"/>
          <w:bCs/>
          <w:color w:val="000000"/>
          <w:kern w:val="0"/>
          <w:sz w:val="32"/>
          <w:szCs w:val="32"/>
        </w:rPr>
        <w:t xml:space="preserve"> </w:t>
      </w:r>
      <w:r>
        <w:rPr>
          <w:rFonts w:ascii="仿宋_GB2312" w:hAnsi="仿宋_GB2312" w:eastAsia="仿宋_GB2312" w:cs="仿宋_GB2312"/>
          <w:bCs/>
          <w:color w:val="000000"/>
          <w:kern w:val="0"/>
          <w:sz w:val="32"/>
          <w:szCs w:val="32"/>
        </w:rPr>
        <w:t xml:space="preserve"> </w:t>
      </w:r>
      <w:r>
        <w:rPr>
          <w:rFonts w:hint="eastAsia" w:ascii="仿宋_GB2312" w:hAnsi="微软雅黑" w:eastAsia="仿宋_GB2312" w:cs="仿宋_GB2312"/>
          <w:color w:val="000000"/>
          <w:kern w:val="0"/>
          <w:sz w:val="32"/>
          <w:szCs w:val="32"/>
          <w:shd w:val="clear" w:color="auto" w:fill="FFFFFF"/>
          <w:lang w:bidi="ar"/>
        </w:rPr>
        <w:t>2025年5月26日发布</w:t>
      </w:r>
      <w:r>
        <w:rPr>
          <w:rFonts w:hint="eastAsia" w:ascii="仿宋_GB2312" w:hAnsi="仿宋_GB2312" w:eastAsia="仿宋_GB2312" w:cs="仿宋_GB2312"/>
          <w:bCs/>
          <w:color w:val="000000"/>
          <w:kern w:val="0"/>
          <w:sz w:val="32"/>
          <w:szCs w:val="32"/>
        </w:rPr>
        <w:t>）</w:t>
      </w:r>
    </w:p>
    <w:p>
      <w:pPr>
        <w:keepNext w:val="0"/>
        <w:keepLines w:val="0"/>
        <w:pageBreakBefore w:val="0"/>
        <w:widowControl/>
        <w:kinsoku/>
        <w:wordWrap/>
        <w:overflowPunct/>
        <w:topLinePunct w:val="0"/>
        <w:autoSpaceDE/>
        <w:autoSpaceDN/>
        <w:bidi w:val="0"/>
        <w:adjustRightInd/>
        <w:snapToGrid/>
        <w:spacing w:before="313" w:beforeLines="100" w:line="560" w:lineRule="exact"/>
        <w:ind w:firstLine="561"/>
        <w:jc w:val="center"/>
        <w:textAlignment w:val="auto"/>
        <w:rPr>
          <w:rStyle w:val="11"/>
          <w:rFonts w:hint="eastAsia" w:ascii="黑体" w:hAnsi="黑体" w:eastAsia="黑体" w:cs="黑体"/>
          <w:b w:val="0"/>
          <w:bCs/>
          <w:kern w:val="0"/>
          <w:sz w:val="32"/>
          <w:szCs w:val="32"/>
          <w:lang w:bidi="ar"/>
        </w:rPr>
      </w:pPr>
      <w:r>
        <w:rPr>
          <w:rStyle w:val="11"/>
          <w:rFonts w:hint="eastAsia" w:ascii="黑体" w:hAnsi="黑体" w:eastAsia="黑体" w:cs="黑体"/>
          <w:b w:val="0"/>
          <w:bCs/>
          <w:kern w:val="0"/>
          <w:sz w:val="32"/>
          <w:szCs w:val="32"/>
          <w:lang w:bidi="ar"/>
        </w:rPr>
        <w:t>第一章 总则</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第一条  根据教育部印发《关于加强高校有组织科研推动高水平自立自强的若干意见》的要求，以“有组织科研”推进教育强国建设，进一步推动学院基层学术研究与组织机构的建设和管理工作，合理配置学院学术资源，提高学院整体科研水平，服务首都经济社会发展，根据学院实际，制定本管理办法。</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第二条  本办法中的非实体性研究机构，系经学院批准成立、依托相关二级学院（中心）进行管理的研究机构；不包括学院独立设置的研究机构、上级部门批准的研究中心（基地）。</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第三条  非实体性研究机构是学院开展科学研究和社会服务的重要载体，必须坚持正确的政治方向，符合学院总体办学目标，有利于促进科学研究和人才培养，有利于培养学术带头人和青年骨干，有利于产出高质量的创新性研究成果。</w:t>
      </w:r>
    </w:p>
    <w:p>
      <w:pPr>
        <w:keepNext w:val="0"/>
        <w:keepLines w:val="0"/>
        <w:pageBreakBefore w:val="0"/>
        <w:widowControl/>
        <w:kinsoku/>
        <w:wordWrap/>
        <w:overflowPunct/>
        <w:topLinePunct w:val="0"/>
        <w:autoSpaceDE/>
        <w:autoSpaceDN/>
        <w:bidi w:val="0"/>
        <w:adjustRightInd/>
        <w:snapToGrid/>
        <w:spacing w:line="560" w:lineRule="exact"/>
        <w:ind w:firstLine="561"/>
        <w:jc w:val="center"/>
        <w:textAlignment w:val="auto"/>
        <w:rPr>
          <w:rStyle w:val="11"/>
          <w:rFonts w:hint="eastAsia" w:ascii="黑体" w:hAnsi="黑体" w:eastAsia="黑体" w:cs="黑体"/>
          <w:b w:val="0"/>
          <w:bCs/>
          <w:kern w:val="0"/>
          <w:sz w:val="32"/>
          <w:szCs w:val="32"/>
          <w:lang w:bidi="ar"/>
        </w:rPr>
      </w:pPr>
      <w:r>
        <w:rPr>
          <w:rStyle w:val="11"/>
          <w:rFonts w:hint="eastAsia" w:ascii="黑体" w:hAnsi="黑体" w:eastAsia="黑体" w:cs="黑体"/>
          <w:b w:val="0"/>
          <w:bCs/>
          <w:kern w:val="0"/>
          <w:sz w:val="32"/>
          <w:szCs w:val="32"/>
          <w:lang w:bidi="ar"/>
        </w:rPr>
        <w:t>第二章 设置</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第四条  非实体性研究机构的设置，应聚焦学院的办学方向，具有稳定的研究领域、明确的学术方向和研究任务，以及可持续的发展规划，能整合不同部门的人员开展有组织研究。鼓励跨专业开展科研合作。</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第五条  非实体性研究机构以其核心研发方向、主要研究或服务内容命名，一般冠以“北京青年政治学院××××研究所或中心”。</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第六条  非实体性研究机构应具有规模适度、结构合理、相对稳定的校内外兼职研究队伍，能够保证持续开展相关科研工作和学术活动。</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第七条  非实体性研究机构负责人应为学院在职人员，一般应具有高级职称或博士学位，并有较高的学术造诣、较丰富的科研经历和较强的学术组织能力，且满足下列条件之一：</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（一）主持过省部级及以上科研项目；</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（二）承担过10万元以上横向研究项目；</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（三）获得过</w:t>
      </w:r>
      <w:bookmarkStart w:id="0" w:name="OLE_LINK5"/>
      <w:r>
        <w:rPr>
          <w:rFonts w:hint="eastAsia" w:ascii="仿宋_GB2312" w:hAnsi="仿宋_GB2312" w:eastAsia="仿宋_GB2312" w:cs="仿宋_GB2312"/>
          <w:kern w:val="0"/>
          <w:sz w:val="32"/>
          <w:szCs w:val="32"/>
          <w:lang w:bidi="ar"/>
        </w:rPr>
        <w:t>省部级</w:t>
      </w:r>
      <w:bookmarkEnd w:id="0"/>
      <w:r>
        <w:rPr>
          <w:rFonts w:hint="eastAsia" w:ascii="仿宋_GB2312" w:hAnsi="仿宋_GB2312" w:eastAsia="仿宋_GB2312" w:cs="仿宋_GB2312"/>
          <w:kern w:val="0"/>
          <w:sz w:val="32"/>
          <w:szCs w:val="32"/>
          <w:lang w:bidi="ar"/>
        </w:rPr>
        <w:t>及以上奖励；</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（四）其他有重要学术及社会影响的科研成果。</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第八条  非实体性研究机构所依托二级学院（中心）应能够承担相应的管理职能，并提供非实体性研究机构日常运行和科研活动所需条件。</w:t>
      </w:r>
    </w:p>
    <w:p>
      <w:pPr>
        <w:keepNext w:val="0"/>
        <w:keepLines w:val="0"/>
        <w:pageBreakBefore w:val="0"/>
        <w:widowControl/>
        <w:kinsoku/>
        <w:wordWrap/>
        <w:overflowPunct/>
        <w:topLinePunct w:val="0"/>
        <w:autoSpaceDE/>
        <w:autoSpaceDN/>
        <w:bidi w:val="0"/>
        <w:adjustRightInd/>
        <w:snapToGrid/>
        <w:spacing w:line="560" w:lineRule="exact"/>
        <w:ind w:firstLine="561"/>
        <w:jc w:val="center"/>
        <w:textAlignment w:val="auto"/>
        <w:rPr>
          <w:rStyle w:val="11"/>
          <w:rFonts w:hint="eastAsia" w:ascii="黑体" w:hAnsi="黑体" w:eastAsia="黑体" w:cs="黑体"/>
          <w:b w:val="0"/>
          <w:bCs/>
          <w:kern w:val="0"/>
          <w:sz w:val="32"/>
          <w:szCs w:val="32"/>
          <w:lang w:bidi="ar"/>
        </w:rPr>
      </w:pPr>
      <w:r>
        <w:rPr>
          <w:rStyle w:val="11"/>
          <w:rFonts w:hint="eastAsia" w:ascii="黑体" w:hAnsi="黑体" w:eastAsia="黑体" w:cs="黑体"/>
          <w:b w:val="0"/>
          <w:bCs/>
          <w:kern w:val="0"/>
          <w:sz w:val="32"/>
          <w:szCs w:val="32"/>
          <w:lang w:bidi="ar"/>
        </w:rPr>
        <w:t>第三章 审批</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第九条  非实体性研究机构由所依托二级学院（中心）负责申请，经本单位领导签署有关承诺意见后，报科研处审查。</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第十条  科研处对提交材料进行初审并报分管院长同意后，提交院长办公会审议。</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第十一条  经院长办公会批准后，以学院名义发文颁布非实体性研究机构名称、任命非实体性研究机构负责人。非实体性研究机构无行政级别。</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非实体性研究机构依法成立后须在科研处登记。</w:t>
      </w:r>
    </w:p>
    <w:p>
      <w:pPr>
        <w:keepNext w:val="0"/>
        <w:keepLines w:val="0"/>
        <w:pageBreakBefore w:val="0"/>
        <w:widowControl/>
        <w:kinsoku/>
        <w:wordWrap/>
        <w:overflowPunct/>
        <w:topLinePunct w:val="0"/>
        <w:autoSpaceDE/>
        <w:autoSpaceDN/>
        <w:bidi w:val="0"/>
        <w:adjustRightInd/>
        <w:snapToGrid/>
        <w:spacing w:line="560" w:lineRule="exact"/>
        <w:ind w:firstLine="561"/>
        <w:jc w:val="center"/>
        <w:textAlignment w:val="auto"/>
        <w:rPr>
          <w:rStyle w:val="11"/>
          <w:rFonts w:hint="eastAsia" w:ascii="黑体" w:hAnsi="黑体" w:eastAsia="黑体" w:cs="黑体"/>
          <w:b w:val="0"/>
          <w:bCs/>
          <w:kern w:val="0"/>
          <w:sz w:val="32"/>
          <w:szCs w:val="32"/>
          <w:lang w:bidi="ar"/>
        </w:rPr>
      </w:pPr>
      <w:r>
        <w:rPr>
          <w:rStyle w:val="11"/>
          <w:rFonts w:hint="eastAsia" w:ascii="黑体" w:hAnsi="黑体" w:eastAsia="黑体" w:cs="黑体"/>
          <w:b w:val="0"/>
          <w:bCs/>
          <w:kern w:val="0"/>
          <w:sz w:val="32"/>
          <w:szCs w:val="32"/>
          <w:lang w:bidi="ar"/>
        </w:rPr>
        <w:t>第四章 管理运行</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第十二条  </w:t>
      </w:r>
      <w:bookmarkStart w:id="1" w:name="_GoBack"/>
      <w:bookmarkEnd w:id="1"/>
      <w:r>
        <w:rPr>
          <w:rFonts w:hint="eastAsia" w:ascii="仿宋_GB2312" w:hAnsi="仿宋_GB2312" w:eastAsia="仿宋_GB2312" w:cs="仿宋_GB2312"/>
          <w:kern w:val="0"/>
          <w:sz w:val="32"/>
          <w:szCs w:val="32"/>
          <w:lang w:bidi="ar"/>
        </w:rPr>
        <w:t>科研处负责监管非实体性研究机构的业务工作，其意识形态工作由相关主管部门负责。</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第十三条  非实体性研究机构的日常管理工作由科研处负责，科研处也可委托所依托二级学院（中心）负责，人员队伍、实验与办公用房、运行经费等由所依托二级学院（中心）统筹安排自行解决，学院可在必要时对其开展重大学术研究或学术活动进行支持。</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第十四条  非实体性研究机构实行所长（主任）负责制，对非实体性研究机构相关业务工作负有全面管理责任，并接受所依托二级学院领导。</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第十五条  非实体性研究机构主办（合办）学术会议、论坛、报告或对外签订合作协议等, 均应由所依托二级学院（中心）按照相关程序和要求，统一报学院相关职能部门核准或备案；聘请校外人员担任兼职研究人员等，须经所依托二级学院（中心）审核同意；所聘校外人员以兼职研究人员履行职责时，研究机构对其研究成果应享有权利。</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第十六条  非实体性研究机构不得私自刻制公章。确需对内或对外进行工作请示、发函、发布通知、订立合作协议（合同）等，可由所依托二级学院（中心）出具代章。</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第十七条  非实体性研究机构不得开设银行账户，不得以“北京青年政治学院”或非实体性研究机构名义开展以经营为目的的活动。</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第十八条  非实体性研究机构如需变更名称、负责人，应由所依托二级学院（中心）提出书面申请，科研处审核后提交院长办公会批准。</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第十九条  非实体性研究机构考核评估工作采取年度检查与全面考核相结合的方式。各类非实体性研究机构应于每年年底通过所依托二级学院（中心），向科研处提交年度工作报告和下年度工作计划。学院每五年对非实体性研究机构进行一次全面考核。</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第二十条  非实体性研究机构出现下列情况之一的，由科研处提出意见，报院长办公会批准后，予以撤销。</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（一）违反国家政策和学院有关规定，违背职业道德、学术道德，给学院声誉造成不良影响；</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（二）连续两年不按时提交年度工作报告和下一年度工作计划，或未实质性开展工作；</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（三）负责人离职或退休且无继任人员；</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（四）其他应调整或撤销的情形。</w:t>
      </w:r>
    </w:p>
    <w:p>
      <w:pPr>
        <w:keepNext w:val="0"/>
        <w:keepLines w:val="0"/>
        <w:pageBreakBefore w:val="0"/>
        <w:widowControl/>
        <w:kinsoku/>
        <w:wordWrap/>
        <w:overflowPunct/>
        <w:topLinePunct w:val="0"/>
        <w:autoSpaceDE/>
        <w:autoSpaceDN/>
        <w:bidi w:val="0"/>
        <w:adjustRightInd/>
        <w:snapToGrid/>
        <w:spacing w:line="560" w:lineRule="exact"/>
        <w:ind w:firstLine="561"/>
        <w:jc w:val="center"/>
        <w:textAlignment w:val="auto"/>
        <w:rPr>
          <w:rStyle w:val="11"/>
          <w:rFonts w:hint="eastAsia" w:ascii="黑体" w:hAnsi="黑体" w:eastAsia="黑体" w:cs="黑体"/>
          <w:b w:val="0"/>
          <w:bCs/>
          <w:kern w:val="0"/>
          <w:sz w:val="32"/>
          <w:szCs w:val="32"/>
          <w:lang w:bidi="ar"/>
        </w:rPr>
      </w:pPr>
      <w:r>
        <w:rPr>
          <w:rStyle w:val="11"/>
          <w:rFonts w:hint="eastAsia" w:ascii="黑体" w:hAnsi="黑体" w:eastAsia="黑体" w:cs="黑体"/>
          <w:b w:val="0"/>
          <w:bCs/>
          <w:kern w:val="0"/>
          <w:sz w:val="32"/>
          <w:szCs w:val="32"/>
          <w:lang w:bidi="ar"/>
        </w:rPr>
        <w:t>第五章 附则</w:t>
      </w:r>
    </w:p>
    <w:p>
      <w:pPr>
        <w:keepNext w:val="0"/>
        <w:keepLines w:val="0"/>
        <w:pageBreakBefore w:val="0"/>
        <w:widowControl/>
        <w:kinsoku/>
        <w:wordWrap/>
        <w:overflowPunct/>
        <w:topLinePunct w:val="0"/>
        <w:autoSpaceDE/>
        <w:autoSpaceDN/>
        <w:bidi w:val="0"/>
        <w:spacing w:line="560" w:lineRule="exact"/>
        <w:ind w:firstLine="560"/>
        <w:jc w:val="lef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第二十一条  本办法自公布之日起施行，由科研处负责解释。</w:t>
      </w:r>
    </w:p>
    <w:tbl>
      <w:tblPr>
        <w:tblStyle w:val="9"/>
        <w:tblpPr w:leftFromText="180" w:rightFromText="180" w:vertAnchor="page" w:horzAnchor="margin" w:tblpY="14116"/>
        <w:tblW w:w="884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4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tcPr>
          <w:p>
            <w:pPr>
              <w:spacing w:line="560" w:lineRule="exact"/>
              <w:ind w:firstLine="140" w:firstLineChars="50"/>
              <w:rPr>
                <w:rFonts w:ascii="仿宋_GB2312" w:eastAsia="仿宋_GB2312"/>
                <w:sz w:val="28"/>
                <w:szCs w:val="28"/>
              </w:rPr>
            </w:pPr>
            <w:r>
              <w:rPr>
                <w:rFonts w:hint="eastAsia" w:ascii="仿宋_GB2312" w:eastAsia="仿宋_GB2312"/>
                <w:sz w:val="28"/>
                <w:szCs w:val="28"/>
              </w:rPr>
              <w:t xml:space="preserve">党政办公室                              </w:t>
            </w:r>
            <w:r>
              <w:rPr>
                <w:rFonts w:hint="eastAsia" w:ascii="仿宋_GB2312" w:eastAsia="仿宋_GB2312"/>
                <w:sz w:val="28"/>
                <w:szCs w:val="28"/>
                <w:lang w:val="en-US" w:eastAsia="zh-CN"/>
              </w:rPr>
              <w:t xml:space="preserve"> </w:t>
            </w:r>
            <w:r>
              <w:rPr>
                <w:rFonts w:hint="eastAsia" w:ascii="仿宋_GB2312" w:eastAsia="仿宋_GB2312"/>
                <w:sz w:val="28"/>
                <w:szCs w:val="28"/>
              </w:rPr>
              <w:t>2025年5月26日印发</w:t>
            </w:r>
          </w:p>
        </w:tc>
      </w:tr>
    </w:tbl>
    <w:p>
      <w:pPr>
        <w:pStyle w:val="3"/>
        <w:spacing w:before="3" w:line="360" w:lineRule="auto"/>
        <w:rPr>
          <w:rFonts w:ascii="仿宋_GB2312" w:hAnsi="仿宋_GB2312" w:eastAsia="仿宋_GB2312" w:cs="仿宋_GB2312"/>
          <w:lang w:val="en-US"/>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708DE1-106D-43CF-97EA-6E1E072993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1531985-0217-40A9-B47D-198E61E05321}"/>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
    <w:altName w:val="方正小标宋简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8E12950-D548-4369-A0A3-AF01E56C7E7C}"/>
  </w:font>
  <w:font w:name="方正小标宋简体">
    <w:panose1 w:val="03000509000000000000"/>
    <w:charset w:val="86"/>
    <w:family w:val="script"/>
    <w:pitch w:val="default"/>
    <w:sig w:usb0="00000001" w:usb1="080E0000" w:usb2="00000000" w:usb3="00000000" w:csb0="00040000" w:csb1="00000000"/>
    <w:embedRegular r:id="rId4" w:fontKey="{38716DEB-B3E5-44CF-B2D4-B0D9B1D015C9}"/>
  </w:font>
  <w:font w:name="楷体_GB2312">
    <w:panose1 w:val="02010609030101010101"/>
    <w:charset w:val="86"/>
    <w:family w:val="modern"/>
    <w:pitch w:val="default"/>
    <w:sig w:usb0="00000001" w:usb1="080E0000" w:usb2="00000000" w:usb3="00000000" w:csb0="00040000" w:csb1="00000000"/>
    <w:embedRegular r:id="rId5" w:fontKey="{14DD2BF0-EC3A-426C-91BE-AA0E3077EA91}"/>
  </w:font>
  <w:font w:name="微软雅黑">
    <w:panose1 w:val="020B0503020204020204"/>
    <w:charset w:val="86"/>
    <w:family w:val="swiss"/>
    <w:pitch w:val="default"/>
    <w:sig w:usb0="80000287" w:usb1="2ACF3C50" w:usb2="00000016" w:usb3="00000000" w:csb0="0004001F" w:csb1="00000000"/>
    <w:embedRegular r:id="rId6" w:fontKey="{EDB2F04B-260E-4BFD-8BE6-99B836AA424D}"/>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 w:name="KSO_WPS_MARK_KEY" w:val="b1516282-5f2d-4999-bf89-92b42f3bf901"/>
  </w:docVars>
  <w:rsids>
    <w:rsidRoot w:val="004C2B01"/>
    <w:rsid w:val="00022932"/>
    <w:rsid w:val="00043A7B"/>
    <w:rsid w:val="00097859"/>
    <w:rsid w:val="000A77B1"/>
    <w:rsid w:val="00111F04"/>
    <w:rsid w:val="001559B1"/>
    <w:rsid w:val="00165BF6"/>
    <w:rsid w:val="00180B44"/>
    <w:rsid w:val="00191359"/>
    <w:rsid w:val="001A232D"/>
    <w:rsid w:val="001A7383"/>
    <w:rsid w:val="002005B9"/>
    <w:rsid w:val="002020C2"/>
    <w:rsid w:val="0026226F"/>
    <w:rsid w:val="00281D83"/>
    <w:rsid w:val="002A5FF6"/>
    <w:rsid w:val="002C2FC6"/>
    <w:rsid w:val="002E7D51"/>
    <w:rsid w:val="002F41BC"/>
    <w:rsid w:val="00314055"/>
    <w:rsid w:val="00377061"/>
    <w:rsid w:val="004C2B01"/>
    <w:rsid w:val="00511FBB"/>
    <w:rsid w:val="005A74DF"/>
    <w:rsid w:val="005D4D55"/>
    <w:rsid w:val="005F4036"/>
    <w:rsid w:val="00605BDA"/>
    <w:rsid w:val="006279D7"/>
    <w:rsid w:val="006B2447"/>
    <w:rsid w:val="006E2973"/>
    <w:rsid w:val="006E4295"/>
    <w:rsid w:val="006F0797"/>
    <w:rsid w:val="0070419B"/>
    <w:rsid w:val="007413D6"/>
    <w:rsid w:val="00842441"/>
    <w:rsid w:val="00854550"/>
    <w:rsid w:val="00870394"/>
    <w:rsid w:val="008A4D80"/>
    <w:rsid w:val="008B2FAB"/>
    <w:rsid w:val="0093167C"/>
    <w:rsid w:val="00991719"/>
    <w:rsid w:val="009B13B8"/>
    <w:rsid w:val="009C60C4"/>
    <w:rsid w:val="00A524E4"/>
    <w:rsid w:val="00A71B6F"/>
    <w:rsid w:val="00A81976"/>
    <w:rsid w:val="00A81E54"/>
    <w:rsid w:val="00A8558D"/>
    <w:rsid w:val="00AA3AAC"/>
    <w:rsid w:val="00AA586D"/>
    <w:rsid w:val="00AE589F"/>
    <w:rsid w:val="00B903E7"/>
    <w:rsid w:val="00CA19A3"/>
    <w:rsid w:val="00CB6A74"/>
    <w:rsid w:val="00CC3B9D"/>
    <w:rsid w:val="00D2185F"/>
    <w:rsid w:val="00D554F7"/>
    <w:rsid w:val="00D56514"/>
    <w:rsid w:val="00E904CE"/>
    <w:rsid w:val="00EC0FC4"/>
    <w:rsid w:val="00F83FBD"/>
    <w:rsid w:val="00FA531C"/>
    <w:rsid w:val="00FD3328"/>
    <w:rsid w:val="05C31ACE"/>
    <w:rsid w:val="09F529AF"/>
    <w:rsid w:val="147E0228"/>
    <w:rsid w:val="15283E11"/>
    <w:rsid w:val="15B17E8C"/>
    <w:rsid w:val="2C1D4AC2"/>
    <w:rsid w:val="32AD417C"/>
    <w:rsid w:val="332A0963"/>
    <w:rsid w:val="3FBF5F3D"/>
    <w:rsid w:val="51053F7C"/>
    <w:rsid w:val="5A8513DC"/>
    <w:rsid w:val="5C480621"/>
    <w:rsid w:val="5F4F15B4"/>
    <w:rsid w:val="643C158A"/>
    <w:rsid w:val="72BB015E"/>
    <w:rsid w:val="76DC5303"/>
    <w:rsid w:val="7DFD140B"/>
    <w:rsid w:val="7EE13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ind w:left="120"/>
      <w:outlineLvl w:val="0"/>
    </w:pPr>
    <w:rPr>
      <w:rFonts w:ascii="楷体" w:hAnsi="楷体" w:eastAsia="楷体" w:cs="楷体"/>
      <w:b/>
      <w:bCs/>
      <w:sz w:val="32"/>
      <w:szCs w:val="32"/>
      <w:lang w:val="zh-CN" w:bidi="zh-CN"/>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autoRedefine/>
    <w:qFormat/>
    <w:uiPriority w:val="1"/>
    <w:pPr>
      <w:spacing w:before="190"/>
      <w:ind w:left="747"/>
    </w:pPr>
    <w:rPr>
      <w:rFonts w:ascii="仿宋" w:hAnsi="仿宋" w:eastAsia="仿宋" w:cs="仿宋"/>
      <w:sz w:val="32"/>
      <w:szCs w:val="32"/>
      <w:lang w:val="zh-CN" w:bidi="zh-CN"/>
    </w:rPr>
  </w:style>
  <w:style w:type="paragraph" w:styleId="4">
    <w:name w:val="Date"/>
    <w:basedOn w:val="1"/>
    <w:next w:val="1"/>
    <w:link w:val="18"/>
    <w:autoRedefine/>
    <w:semiHidden/>
    <w:unhideWhenUsed/>
    <w:qFormat/>
    <w:uiPriority w:val="99"/>
    <w:pPr>
      <w:ind w:left="100" w:leftChars="2500"/>
    </w:pPr>
  </w:style>
  <w:style w:type="paragraph" w:styleId="5">
    <w:name w:val="Balloon Text"/>
    <w:basedOn w:val="1"/>
    <w:link w:val="19"/>
    <w:autoRedefine/>
    <w:semiHidden/>
    <w:unhideWhenUsed/>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rFonts w:cs="Times New Roman"/>
      <w:kern w:val="0"/>
      <w:sz w:val="24"/>
      <w:szCs w:val="24"/>
    </w:rPr>
  </w:style>
  <w:style w:type="character" w:styleId="11">
    <w:name w:val="Strong"/>
    <w:basedOn w:val="10"/>
    <w:autoRedefine/>
    <w:qFormat/>
    <w:uiPriority w:val="0"/>
    <w:rPr>
      <w:b/>
    </w:rPr>
  </w:style>
  <w:style w:type="character" w:customStyle="1" w:styleId="12">
    <w:name w:val="页眉 字符"/>
    <w:basedOn w:val="10"/>
    <w:link w:val="7"/>
    <w:autoRedefine/>
    <w:qFormat/>
    <w:uiPriority w:val="99"/>
    <w:rPr>
      <w:sz w:val="18"/>
      <w:szCs w:val="18"/>
    </w:rPr>
  </w:style>
  <w:style w:type="character" w:customStyle="1" w:styleId="13">
    <w:name w:val="页脚 字符"/>
    <w:basedOn w:val="10"/>
    <w:link w:val="6"/>
    <w:autoRedefine/>
    <w:qFormat/>
    <w:uiPriority w:val="99"/>
    <w:rPr>
      <w:sz w:val="18"/>
      <w:szCs w:val="18"/>
    </w:rPr>
  </w:style>
  <w:style w:type="character" w:customStyle="1" w:styleId="14">
    <w:name w:val="fontstyle11"/>
    <w:autoRedefine/>
    <w:qFormat/>
    <w:uiPriority w:val="0"/>
    <w:rPr>
      <w:rFonts w:hint="eastAsia" w:ascii="方正小标宋" w:eastAsia="方正小标宋"/>
      <w:color w:val="000000"/>
      <w:sz w:val="44"/>
      <w:szCs w:val="44"/>
    </w:rPr>
  </w:style>
  <w:style w:type="character" w:customStyle="1" w:styleId="15">
    <w:name w:val="fontstyle21"/>
    <w:autoRedefine/>
    <w:qFormat/>
    <w:uiPriority w:val="0"/>
    <w:rPr>
      <w:rFonts w:hint="eastAsia" w:ascii="仿宋_GB2312" w:eastAsia="仿宋_GB2312"/>
      <w:color w:val="000000"/>
      <w:sz w:val="32"/>
      <w:szCs w:val="32"/>
    </w:rPr>
  </w:style>
  <w:style w:type="character" w:customStyle="1" w:styleId="16">
    <w:name w:val="fontstyle51"/>
    <w:autoRedefine/>
    <w:qFormat/>
    <w:uiPriority w:val="0"/>
    <w:rPr>
      <w:rFonts w:hint="eastAsia" w:ascii="黑体" w:eastAsia="黑体"/>
      <w:color w:val="000000"/>
      <w:sz w:val="32"/>
      <w:szCs w:val="32"/>
    </w:rPr>
  </w:style>
  <w:style w:type="character" w:customStyle="1" w:styleId="17">
    <w:name w:val="fontstyle61"/>
    <w:autoRedefine/>
    <w:qFormat/>
    <w:uiPriority w:val="0"/>
    <w:rPr>
      <w:rFonts w:hint="eastAsia" w:ascii="楷体" w:eastAsia="楷体"/>
      <w:color w:val="000000"/>
      <w:sz w:val="32"/>
      <w:szCs w:val="32"/>
    </w:rPr>
  </w:style>
  <w:style w:type="character" w:customStyle="1" w:styleId="18">
    <w:name w:val="日期 字符"/>
    <w:basedOn w:val="10"/>
    <w:link w:val="4"/>
    <w:autoRedefine/>
    <w:semiHidden/>
    <w:qFormat/>
    <w:uiPriority w:val="99"/>
  </w:style>
  <w:style w:type="character" w:customStyle="1" w:styleId="19">
    <w:name w:val="批注框文本 字符"/>
    <w:basedOn w:val="10"/>
    <w:link w:val="5"/>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319</Words>
  <Characters>1819</Characters>
  <Lines>15</Lines>
  <Paragraphs>4</Paragraphs>
  <TotalTime>17</TotalTime>
  <ScaleCrop>false</ScaleCrop>
  <LinksUpToDate>false</LinksUpToDate>
  <CharactersWithSpaces>2134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2025-05-26T01:22:00Z</dcterms:created>
  <dc:creator>BJYPC</dc:creator>
  <cp:lastModifiedBy>DELL</cp:lastModifiedBy>
  <cp:lastPrinted>2025-05-21T05:42:00Z</cp:lastPrinted>
  <dcterms:modified xsi:type="dcterms:W3CDTF">2025-05-26T07:53:13Z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4F292A8B5EB348FFB4CE1DDD5C10788F_13</vt:lpwstr>
  </property>
</Properties>
</file>