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272"/>
        <w:jc w:val="distribute"/>
        <w:rPr>
          <w:rFonts w:ascii="方正小标宋简体" w:hAnsi="宋体" w:eastAsia="方正小标宋简体"/>
          <w:color w:val="FF0000"/>
          <w:sz w:val="64"/>
          <w:szCs w:val="64"/>
        </w:rPr>
      </w:pPr>
    </w:p>
    <w:p>
      <w:pPr>
        <w:spacing w:line="240" w:lineRule="auto"/>
        <w:ind w:firstLine="0" w:firstLineChars="0"/>
        <w:jc w:val="center"/>
        <w:rPr>
          <w:rFonts w:ascii="方正小标宋简体" w:eastAsia="方正小标宋简体"/>
          <w:sz w:val="64"/>
          <w:szCs w:val="64"/>
        </w:rPr>
      </w:pPr>
      <w:r>
        <w:rPr>
          <w:rFonts w:hint="eastAsia" w:ascii="方正小标宋简体" w:hAnsi="宋体" w:eastAsia="方正小标宋简体"/>
          <w:color w:val="FF0000"/>
          <w:spacing w:val="60"/>
          <w:kern w:val="0"/>
          <w:sz w:val="64"/>
          <w:szCs w:val="64"/>
        </w:rPr>
        <w:t>北京青年政治学院文</w:t>
      </w:r>
      <w:r>
        <w:rPr>
          <w:rFonts w:hint="eastAsia" w:ascii="方正小标宋简体" w:hAnsi="宋体" w:eastAsia="方正小标宋简体"/>
          <w:color w:val="FF0000"/>
          <w:kern w:val="0"/>
          <w:sz w:val="64"/>
          <w:szCs w:val="64"/>
        </w:rPr>
        <w:t>件</w:t>
      </w:r>
    </w:p>
    <w:p>
      <w:pPr>
        <w:ind w:firstLine="632"/>
        <w:rPr>
          <w:rFonts w:ascii="仿宋_GB2312"/>
          <w:szCs w:val="32"/>
        </w:rPr>
      </w:pPr>
    </w:p>
    <w:p>
      <w:pPr>
        <w:ind w:firstLine="0" w:firstLineChars="0"/>
        <w:jc w:val="center"/>
        <w:rPr>
          <w:rFonts w:ascii="楷体_GB2312" w:eastAsia="楷体_GB2312"/>
          <w:szCs w:val="32"/>
        </w:rPr>
      </w:pPr>
      <w:r>
        <w:rPr>
          <w:rFonts w:hint="eastAsia" w:ascii="仿宋_GB2312"/>
          <w:szCs w:val="32"/>
        </w:rPr>
        <w:t>院发〔202</w:t>
      </w:r>
      <w:r>
        <w:rPr>
          <w:rFonts w:ascii="仿宋_GB2312"/>
          <w:szCs w:val="32"/>
        </w:rPr>
        <w:t>5</w:t>
      </w:r>
      <w:r>
        <w:rPr>
          <w:rFonts w:hint="eastAsia" w:ascii="仿宋_GB2312"/>
          <w:szCs w:val="32"/>
        </w:rPr>
        <w:t>〕</w:t>
      </w:r>
      <w:r>
        <w:rPr>
          <w:rFonts w:hint="eastAsia" w:ascii="仿宋_GB2312"/>
          <w:szCs w:val="32"/>
          <w:lang w:val="en-US" w:eastAsia="zh-CN"/>
        </w:rPr>
        <w:t>17</w:t>
      </w:r>
      <w:r>
        <w:rPr>
          <w:rFonts w:ascii="仿宋_GB2312"/>
          <w:szCs w:val="32"/>
        </w:rPr>
        <w:t>号</w:t>
      </w:r>
    </w:p>
    <w:p>
      <w:pPr>
        <w:spacing w:line="520" w:lineRule="exact"/>
        <w:ind w:firstLine="0" w:firstLineChars="0"/>
        <w:rPr>
          <w:rFonts w:ascii="方正小标宋简体" w:hAnsi="宋体" w:eastAsia="方正小标宋简体" w:cs="宋体"/>
          <w:bCs/>
          <w:kern w:val="0"/>
          <w:sz w:val="44"/>
          <w:szCs w:val="44"/>
        </w:rPr>
      </w:pPr>
      <w: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92075</wp:posOffset>
                </wp:positionV>
                <wp:extent cx="5581650" cy="9525"/>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581650" cy="9525"/>
                        </a:xfrm>
                        <a:prstGeom prst="line">
                          <a:avLst/>
                        </a:prstGeom>
                        <a:noFill/>
                        <a:ln w="19050">
                          <a:solidFill>
                            <a:srgbClr val="FF0000"/>
                          </a:solidFill>
                          <a:round/>
                        </a:ln>
                      </wps:spPr>
                      <wps:bodyPr/>
                    </wps:wsp>
                  </a:graphicData>
                </a:graphic>
              </wp:anchor>
            </w:drawing>
          </mc:Choice>
          <mc:Fallback>
            <w:pict>
              <v:line id="_x0000_s1026" o:spid="_x0000_s1026" o:spt="20" style="position:absolute;left:0pt;flip:y;margin-left:-0.1pt;margin-top:7.25pt;height:0.75pt;width:439.5pt;z-index:251660288;mso-width-relative:page;mso-height-relative:page;" filled="f" stroked="t" coordsize="21600,21600" o:gfxdata="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IPj6TWAAAABwEAAA8AAAAAAAAAAQAgAAAAIgAAAGRycy9kb3ducmV2LnhtbFBLAQIUABQAAAAI&#10;AIdO4kDZTzzo7wEAALgDAAAOAAAAAAAAAAEAIAAAACUBAABkcnMvZTJvRG9jLnhtbFBLBQYAAAAA&#10;BgAGAFkBAACGBQ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before="579" w:beforeLines="100"/>
        <w:ind w:firstLine="0" w:firstLineChars="0"/>
        <w:jc w:val="center"/>
        <w:textAlignment w:val="auto"/>
        <w:rPr>
          <w:rFonts w:hint="default"/>
          <w:lang w:val="en-US" w:eastAsia="zh-CN"/>
        </w:rPr>
      </w:pPr>
      <w:bookmarkStart w:id="0" w:name="_Toc260221961"/>
      <w:bookmarkEnd w:id="0"/>
      <w:bookmarkStart w:id="1" w:name="_Toc250498189"/>
      <w:bookmarkEnd w:id="1"/>
      <w:bookmarkStart w:id="2" w:name="_Toc250537265"/>
      <w:bookmarkEnd w:id="2"/>
      <w:bookmarkStart w:id="3" w:name="_Toc251685251"/>
      <w:bookmarkEnd w:id="3"/>
      <w:bookmarkStart w:id="4" w:name="_Toc250454266"/>
      <w:bookmarkEnd w:id="4"/>
      <w:bookmarkStart w:id="5" w:name="_Toc250454403"/>
      <w:bookmarkEnd w:id="5"/>
      <w:bookmarkStart w:id="6" w:name="_Toc251685203"/>
      <w:bookmarkEnd w:id="6"/>
      <w:bookmarkStart w:id="7" w:name="OLE_LINK2"/>
      <w:r>
        <w:rPr>
          <w:rFonts w:hint="eastAsia" w:ascii="方正小标宋简体" w:hAnsi="方正小标宋简体" w:eastAsia="方正小标宋简体" w:cs="方正小标宋简体"/>
          <w:sz w:val="44"/>
          <w:szCs w:val="44"/>
          <w:lang w:val="en-US" w:eastAsia="zh-CN"/>
        </w:rPr>
        <w:t>北京青年政治学院关于</w:t>
      </w:r>
    </w:p>
    <w:p>
      <w:pPr>
        <w:keepNext w:val="0"/>
        <w:keepLines w:val="0"/>
        <w:pageBreakBefore w:val="0"/>
        <w:widowControl w:val="0"/>
        <w:kinsoku/>
        <w:wordWrap/>
        <w:overflowPunct/>
        <w:topLinePunct w:val="0"/>
        <w:autoSpaceDE/>
        <w:autoSpaceDN/>
        <w:bidi w:val="0"/>
        <w:adjustRightInd/>
        <w:snapToGrid/>
        <w:spacing w:after="579" w:afterLines="100"/>
        <w:ind w:firstLine="0" w:firstLineChars="0"/>
        <w:jc w:val="center"/>
        <w:textAlignment w:val="auto"/>
      </w:pPr>
      <w:r>
        <w:rPr>
          <w:rFonts w:hint="eastAsia" w:ascii="方正小标宋简体" w:hAnsi="方正小标宋简体" w:eastAsia="方正小标宋简体" w:cs="方正小标宋简体"/>
          <w:sz w:val="44"/>
          <w:szCs w:val="44"/>
        </w:rPr>
        <w:t>印发《北京青年政治学院教师工作量</w:t>
      </w:r>
      <w:r>
        <w:rPr>
          <w:rFonts w:hint="eastAsia"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44"/>
          <w:szCs w:val="44"/>
        </w:rPr>
        <w:t>管理考核办法》的通知</w:t>
      </w:r>
      <w:bookmarkEnd w:id="7"/>
    </w:p>
    <w:p>
      <w:pPr>
        <w:ind w:firstLine="0" w:firstLineChars="0"/>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各部门、单位:</w:t>
      </w:r>
    </w:p>
    <w:p>
      <w:pPr>
        <w:ind w:firstLine="632"/>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lang w:val="en-US" w:eastAsia="zh-CN"/>
        </w:rPr>
        <w:t>新修订的</w:t>
      </w:r>
      <w:r>
        <w:rPr>
          <w:rFonts w:hint="eastAsia" w:ascii="楷体_GB2312" w:hAnsi="楷体_GB2312" w:eastAsia="楷体_GB2312" w:cs="楷体_GB2312"/>
          <w:color w:val="000000"/>
          <w:szCs w:val="32"/>
        </w:rPr>
        <w:t>《北京青年政治学院教师工作量管理考核办法》经二届党委第74次常委会</w:t>
      </w:r>
      <w:r>
        <w:rPr>
          <w:rFonts w:hint="eastAsia" w:ascii="楷体_GB2312" w:hAnsi="楷体_GB2312" w:eastAsia="楷体_GB2312" w:cs="楷体_GB2312"/>
          <w:color w:val="000000"/>
          <w:szCs w:val="32"/>
          <w:lang w:val="en-US" w:eastAsia="zh-CN"/>
        </w:rPr>
        <w:t>会</w:t>
      </w:r>
      <w:r>
        <w:rPr>
          <w:rFonts w:hint="eastAsia" w:ascii="楷体_GB2312" w:hAnsi="楷体_GB2312" w:eastAsia="楷体_GB2312" w:cs="楷体_GB2312"/>
          <w:color w:val="000000"/>
          <w:szCs w:val="32"/>
        </w:rPr>
        <w:t>议审议通过，现印发给你们，请认真遵照执行。</w:t>
      </w:r>
    </w:p>
    <w:p>
      <w:pPr>
        <w:ind w:firstLine="632"/>
        <w:rPr>
          <w:rFonts w:hint="eastAsia" w:ascii="楷体_GB2312" w:hAnsi="楷体_GB2312" w:eastAsia="楷体_GB2312" w:cs="楷体_GB2312"/>
          <w:szCs w:val="32"/>
        </w:rPr>
      </w:pPr>
    </w:p>
    <w:p>
      <w:pPr>
        <w:ind w:firstLine="872"/>
        <w:rPr>
          <w:rFonts w:hint="eastAsia" w:ascii="楷体_GB2312" w:hAnsi="楷体_GB2312" w:eastAsia="楷体_GB2312" w:cs="楷体_GB2312"/>
          <w:bCs/>
          <w:sz w:val="44"/>
          <w:szCs w:val="44"/>
        </w:rPr>
      </w:pPr>
    </w:p>
    <w:p>
      <w:pPr>
        <w:ind w:firstLine="4740" w:firstLineChars="1500"/>
        <w:jc w:val="left"/>
        <w:rPr>
          <w:rFonts w:hint="eastAsia" w:ascii="楷体_GB2312" w:hAnsi="楷体_GB2312" w:eastAsia="楷体_GB2312" w:cs="楷体_GB2312"/>
          <w:color w:val="000000" w:themeColor="text1"/>
          <w:szCs w:val="32"/>
          <w14:textFill>
            <w14:solidFill>
              <w14:schemeClr w14:val="tx1"/>
            </w14:solidFill>
          </w14:textFill>
        </w:rPr>
      </w:pPr>
      <w:r>
        <w:rPr>
          <w:rFonts w:hint="eastAsia" w:ascii="楷体_GB2312" w:hAnsi="楷体_GB2312" w:eastAsia="楷体_GB2312" w:cs="楷体_GB2312"/>
          <w:color w:val="000000" w:themeColor="text1"/>
          <w:szCs w:val="32"/>
          <w14:textFill>
            <w14:solidFill>
              <w14:schemeClr w14:val="tx1"/>
            </w14:solidFill>
          </w14:textFill>
        </w:rPr>
        <w:t>北京青年政治学院</w:t>
      </w:r>
    </w:p>
    <w:p>
      <w:pPr>
        <w:ind w:firstLine="5056" w:firstLineChars="1600"/>
        <w:jc w:val="left"/>
        <w:rPr>
          <w:rFonts w:hint="eastAsia" w:ascii="楷体_GB2312" w:hAnsi="楷体_GB2312" w:eastAsia="楷体_GB2312" w:cs="楷体_GB2312"/>
          <w:color w:val="000000" w:themeColor="text1"/>
          <w:szCs w:val="32"/>
          <w14:textFill>
            <w14:solidFill>
              <w14:schemeClr w14:val="tx1"/>
            </w14:solidFill>
          </w14:textFill>
        </w:rPr>
      </w:pPr>
      <w:r>
        <w:rPr>
          <w:rFonts w:hint="eastAsia" w:ascii="楷体_GB2312" w:hAnsi="楷体_GB2312" w:eastAsia="楷体_GB2312" w:cs="楷体_GB2312"/>
          <w:color w:val="000000" w:themeColor="text1"/>
          <w:szCs w:val="32"/>
          <w14:textFill>
            <w14:solidFill>
              <w14:schemeClr w14:val="tx1"/>
            </w14:solidFill>
          </w14:textFill>
        </w:rPr>
        <w:t>2025年6月</w:t>
      </w:r>
      <w:r>
        <w:rPr>
          <w:rFonts w:hint="eastAsia" w:ascii="楷体_GB2312" w:hAnsi="楷体_GB2312" w:eastAsia="楷体_GB2312" w:cs="楷体_GB2312"/>
          <w:color w:val="000000" w:themeColor="text1"/>
          <w:szCs w:val="32"/>
          <w:lang w:val="en-US" w:eastAsia="zh-CN"/>
          <w14:textFill>
            <w14:solidFill>
              <w14:schemeClr w14:val="tx1"/>
            </w14:solidFill>
          </w14:textFill>
        </w:rPr>
        <w:t>4</w:t>
      </w:r>
      <w:r>
        <w:rPr>
          <w:rFonts w:hint="eastAsia" w:ascii="楷体_GB2312" w:hAnsi="楷体_GB2312" w:eastAsia="楷体_GB2312" w:cs="楷体_GB2312"/>
          <w:color w:val="000000" w:themeColor="text1"/>
          <w:szCs w:val="32"/>
          <w14:textFill>
            <w14:solidFill>
              <w14:schemeClr w14:val="tx1"/>
            </w14:solidFill>
          </w14:textFill>
        </w:rPr>
        <w:t>日</w:t>
      </w:r>
    </w:p>
    <w:p>
      <w:pPr>
        <w:ind w:firstLine="632"/>
      </w:pPr>
      <w:r>
        <w:rPr>
          <w:rFonts w:hint="eastAsia" w:ascii="仿宋_GB2312" w:hAnsi="仿宋_GB2312" w:cs="仿宋_GB2312"/>
          <w:color w:val="000000" w:themeColor="text1"/>
          <w:szCs w:val="32"/>
          <w14:textFill>
            <w14:solidFill>
              <w14:schemeClr w14:val="tx1"/>
            </w14:solidFill>
          </w14:textFill>
        </w:rPr>
        <w:br w:type="page"/>
      </w:r>
    </w:p>
    <w:p>
      <w:pPr>
        <w:pStyle w:val="20"/>
        <w:pageBreakBefore w:val="0"/>
        <w:widowControl w:val="0"/>
        <w:spacing w:before="579" w:after="0" w:afterLines="0"/>
      </w:pPr>
      <w:r>
        <w:rPr>
          <w:rFonts w:hint="eastAsia"/>
        </w:rPr>
        <w:t>北京青年政治学院教师工作量管理考核办法</w:t>
      </w:r>
    </w:p>
    <w:p>
      <w:pPr>
        <w:keepNext w:val="0"/>
        <w:keepLines w:val="0"/>
        <w:pageBreakBefore w:val="0"/>
        <w:widowControl w:val="0"/>
        <w:kinsoku/>
        <w:wordWrap/>
        <w:overflowPunct/>
        <w:topLinePunct w:val="0"/>
        <w:autoSpaceDE/>
        <w:autoSpaceDN/>
        <w:bidi w:val="0"/>
        <w:adjustRightInd/>
        <w:snapToGrid/>
        <w:spacing w:before="292" w:beforeLines="50"/>
        <w:ind w:firstLine="0" w:firstLineChars="0"/>
        <w:jc w:val="center"/>
        <w:textAlignment w:val="auto"/>
        <w:rPr>
          <w:rFonts w:ascii="仿宋_GB2312"/>
          <w:szCs w:val="32"/>
        </w:rPr>
      </w:pPr>
      <w:r>
        <w:rPr>
          <w:rFonts w:hint="eastAsia" w:ascii="仿宋_GB2312"/>
          <w:szCs w:val="32"/>
        </w:rPr>
        <w:t>（2023年2月3日一届党委2023年第2次常委会</w:t>
      </w:r>
      <w:r>
        <w:rPr>
          <w:rFonts w:hint="eastAsia" w:ascii="仿宋_GB2312"/>
          <w:szCs w:val="32"/>
          <w:lang w:val="en-US" w:eastAsia="zh-CN"/>
        </w:rPr>
        <w:t>会</w:t>
      </w:r>
      <w:r>
        <w:rPr>
          <w:rFonts w:hint="eastAsia" w:ascii="仿宋_GB2312"/>
          <w:szCs w:val="32"/>
        </w:rPr>
        <w:t>议通过</w:t>
      </w:r>
    </w:p>
    <w:p>
      <w:pPr>
        <w:ind w:firstLine="0" w:firstLineChars="0"/>
        <w:jc w:val="center"/>
        <w:rPr>
          <w:rFonts w:ascii="仿宋_GB2312"/>
          <w:szCs w:val="32"/>
        </w:rPr>
      </w:pPr>
      <w:r>
        <w:rPr>
          <w:rFonts w:hint="eastAsia" w:ascii="仿宋_GB2312"/>
          <w:szCs w:val="32"/>
        </w:rPr>
        <w:t>2025年5月14日二届党委第74次常委</w:t>
      </w:r>
      <w:r>
        <w:rPr>
          <w:rFonts w:hint="eastAsia" w:ascii="仿宋_GB2312"/>
          <w:szCs w:val="32"/>
          <w:lang w:val="en-US" w:eastAsia="zh-CN"/>
        </w:rPr>
        <w:t>会</w:t>
      </w:r>
      <w:r>
        <w:rPr>
          <w:rFonts w:hint="eastAsia" w:ascii="仿宋_GB2312"/>
          <w:szCs w:val="32"/>
        </w:rPr>
        <w:t>会议修订</w:t>
      </w:r>
    </w:p>
    <w:p>
      <w:pPr>
        <w:keepNext w:val="0"/>
        <w:keepLines w:val="0"/>
        <w:pageBreakBefore w:val="0"/>
        <w:widowControl w:val="0"/>
        <w:kinsoku/>
        <w:wordWrap/>
        <w:overflowPunct/>
        <w:topLinePunct w:val="0"/>
        <w:autoSpaceDE/>
        <w:autoSpaceDN/>
        <w:bidi w:val="0"/>
        <w:adjustRightInd/>
        <w:snapToGrid/>
        <w:spacing w:after="581" w:afterLines="100"/>
        <w:ind w:firstLine="0" w:firstLineChars="0"/>
        <w:jc w:val="center"/>
        <w:textAlignment w:val="auto"/>
        <w:rPr>
          <w:rFonts w:ascii="黑体" w:hAnsi="黑体" w:eastAsia="黑体"/>
          <w:szCs w:val="32"/>
        </w:rPr>
      </w:pPr>
      <w:r>
        <w:rPr>
          <w:rFonts w:hint="eastAsia" w:ascii="仿宋_GB2312"/>
          <w:szCs w:val="32"/>
        </w:rPr>
        <w:t>2025年</w:t>
      </w:r>
      <w:r>
        <w:rPr>
          <w:rFonts w:ascii="仿宋_GB2312"/>
          <w:szCs w:val="32"/>
        </w:rPr>
        <w:t>6</w:t>
      </w:r>
      <w:r>
        <w:rPr>
          <w:rFonts w:hint="eastAsia" w:ascii="仿宋_GB2312"/>
          <w:szCs w:val="32"/>
        </w:rPr>
        <w:t>月</w:t>
      </w:r>
      <w:r>
        <w:rPr>
          <w:rFonts w:hint="eastAsia" w:ascii="仿宋_GB2312"/>
          <w:szCs w:val="32"/>
          <w:lang w:val="en-US" w:eastAsia="zh-CN"/>
        </w:rPr>
        <w:t>4</w:t>
      </w:r>
      <w:r>
        <w:rPr>
          <w:rFonts w:hint="eastAsia" w:ascii="仿宋_GB2312"/>
          <w:szCs w:val="32"/>
        </w:rPr>
        <w:t>日发布）</w:t>
      </w:r>
    </w:p>
    <w:p>
      <w:pPr>
        <w:adjustRightInd w:val="0"/>
        <w:snapToGrid w:val="0"/>
        <w:ind w:firstLine="0" w:firstLineChars="0"/>
        <w:jc w:val="center"/>
        <w:rPr>
          <w:rFonts w:ascii="黑体" w:hAnsi="黑体" w:eastAsia="黑体"/>
          <w:szCs w:val="32"/>
        </w:rPr>
      </w:pPr>
      <w:r>
        <w:rPr>
          <w:rFonts w:hint="eastAsia" w:ascii="黑体" w:hAnsi="黑体" w:eastAsia="黑体"/>
          <w:szCs w:val="32"/>
        </w:rPr>
        <w:t>第一章</w:t>
      </w:r>
      <w:r>
        <w:rPr>
          <w:rFonts w:ascii="黑体" w:hAnsi="黑体" w:eastAsia="黑体"/>
          <w:szCs w:val="32"/>
        </w:rPr>
        <w:t xml:space="preserve"> </w:t>
      </w:r>
      <w:r>
        <w:rPr>
          <w:rFonts w:hint="eastAsia" w:ascii="黑体" w:hAnsi="黑体" w:eastAsia="黑体"/>
          <w:szCs w:val="32"/>
        </w:rPr>
        <w:t>总则</w:t>
      </w:r>
    </w:p>
    <w:p>
      <w:pPr>
        <w:adjustRightInd w:val="0"/>
        <w:snapToGrid w:val="0"/>
        <w:ind w:firstLine="632"/>
        <w:rPr>
          <w:rFonts w:ascii="仿宋_GB2312" w:hAnsi="华文仿宋"/>
          <w:szCs w:val="32"/>
        </w:rPr>
      </w:pPr>
      <w:r>
        <w:rPr>
          <w:rFonts w:hint="eastAsia" w:ascii="黑体" w:hAnsi="黑体" w:eastAsia="黑体" w:cs="黑体"/>
          <w:bCs/>
          <w:szCs w:val="32"/>
        </w:rPr>
        <w:t>第一条</w:t>
      </w:r>
      <w:r>
        <w:rPr>
          <w:rFonts w:hint="eastAsia" w:ascii="仿宋_GB2312" w:hAnsi="华文仿宋"/>
          <w:szCs w:val="32"/>
        </w:rPr>
        <w:t xml:space="preserve"> 为全面落实教师岗位职责，规范教师岗位工作量管理，切实做好教师分类分层评价，激发广大教师干事创业的积极性和主动性，引导教师不断创新，推动学院高质量发展，根据上级有关规定，结合学院实际，制定本办法。</w:t>
      </w:r>
    </w:p>
    <w:p>
      <w:pPr>
        <w:ind w:firstLine="632"/>
      </w:pPr>
      <w:r>
        <w:rPr>
          <w:rFonts w:hint="eastAsia" w:ascii="黑体" w:hAnsi="黑体" w:eastAsia="黑体" w:cs="黑体"/>
        </w:rPr>
        <w:t>第二条</w:t>
      </w:r>
      <w:r>
        <w:rPr>
          <w:rFonts w:hint="eastAsia"/>
        </w:rPr>
        <w:t xml:space="preserve"> 教师工作量实行校院两级管理，以二级教学单位管理为主。</w:t>
      </w:r>
    </w:p>
    <w:p>
      <w:pPr>
        <w:ind w:firstLine="632"/>
      </w:pPr>
      <w:r>
        <w:rPr>
          <w:rFonts w:hint="eastAsia" w:ascii="黑体" w:hAnsi="黑体" w:eastAsia="黑体" w:cs="黑体"/>
        </w:rPr>
        <w:t>第三条</w:t>
      </w:r>
      <w:r>
        <w:rPr>
          <w:rFonts w:hint="eastAsia"/>
        </w:rPr>
        <w:t xml:space="preserve"> 教师工作量计算坚持实事求是和公开、公平、公正的原则。</w:t>
      </w:r>
    </w:p>
    <w:p>
      <w:pPr>
        <w:ind w:firstLine="632"/>
      </w:pPr>
      <w:r>
        <w:rPr>
          <w:rFonts w:hint="eastAsia" w:ascii="黑体" w:hAnsi="黑体" w:eastAsia="黑体" w:cs="黑体"/>
        </w:rPr>
        <w:t>第四条</w:t>
      </w:r>
      <w:r>
        <w:rPr>
          <w:rFonts w:hint="eastAsia"/>
        </w:rPr>
        <w:t xml:space="preserve"> 本办法中的专任教师指按教师系列职称考核的一线教学人员，分为教学型教师和科研服务型教师；兼职教师指按教师系列职称考核的非专任教师；行政兼课教师包括兼职教师和其他承担教学工作的人员。</w:t>
      </w:r>
    </w:p>
    <w:p>
      <w:pPr>
        <w:adjustRightInd w:val="0"/>
        <w:snapToGrid w:val="0"/>
        <w:ind w:firstLine="0" w:firstLineChars="0"/>
        <w:jc w:val="center"/>
        <w:rPr>
          <w:rFonts w:ascii="黑体" w:hAnsi="黑体" w:eastAsia="黑体"/>
          <w:szCs w:val="32"/>
        </w:rPr>
      </w:pPr>
      <w:r>
        <w:rPr>
          <w:rFonts w:hint="eastAsia" w:ascii="黑体" w:hAnsi="黑体" w:eastAsia="黑体"/>
          <w:szCs w:val="32"/>
        </w:rPr>
        <w:t>第二章 教师工作量构成及标准</w:t>
      </w:r>
    </w:p>
    <w:p>
      <w:pPr>
        <w:ind w:firstLine="632"/>
      </w:pPr>
      <w:r>
        <w:rPr>
          <w:rFonts w:hint="eastAsia" w:ascii="黑体" w:hAnsi="黑体" w:eastAsia="黑体" w:cs="黑体"/>
        </w:rPr>
        <w:t>第五条</w:t>
      </w:r>
      <w:r>
        <w:rPr>
          <w:rFonts w:hint="eastAsia"/>
        </w:rPr>
        <w:t xml:space="preserve"> 教师工作量由教学工作量、教学建设工作量、科研工作量和公共服务工作量等四部分构成，其中：</w:t>
      </w:r>
    </w:p>
    <w:p>
      <w:pPr>
        <w:ind w:firstLine="632"/>
        <w:rPr>
          <w:rFonts w:hint="eastAsia" w:ascii="仿宋_GB2312" w:hAnsi="仿宋_GB2312" w:eastAsia="仿宋_GB2312" w:cs="仿宋_GB2312"/>
        </w:rPr>
      </w:pPr>
      <w:r>
        <w:rPr>
          <w:rFonts w:hint="eastAsia"/>
        </w:rPr>
        <w:t>教学工作量、教学建设工作量、科研工作量的年度定额标准及计算办法分别见附件</w:t>
      </w:r>
      <w:r>
        <w:rPr>
          <w:rFonts w:hint="eastAsia" w:ascii="仿宋_GB2312" w:hAnsi="仿宋_GB2312" w:eastAsia="仿宋_GB2312" w:cs="仿宋_GB2312"/>
        </w:rPr>
        <w:t>1、附件2和附件3，</w:t>
      </w:r>
    </w:p>
    <w:p>
      <w:pPr>
        <w:ind w:firstLine="632"/>
      </w:pPr>
      <w:r>
        <w:rPr>
          <w:rFonts w:hint="eastAsia"/>
        </w:rPr>
        <w:t>公共服务包括招生、就业、社团指导、思想政治教育工作、语言文字服务工作、组织参与文体活动和学院组织的各类考试的监考服务等。公共服务工作量年定额标准为</w:t>
      </w:r>
      <w:r>
        <w:rPr>
          <w:rFonts w:hint="eastAsia" w:ascii="仿宋_GB2312" w:hAnsi="仿宋_GB2312" w:eastAsia="仿宋_GB2312" w:cs="仿宋_GB2312"/>
        </w:rPr>
        <w:t>10分，每次计1分</w:t>
      </w:r>
      <w:r>
        <w:rPr>
          <w:rFonts w:hint="eastAsia"/>
        </w:rPr>
        <w:t>。</w:t>
      </w:r>
    </w:p>
    <w:p>
      <w:pPr>
        <w:ind w:firstLine="632"/>
      </w:pPr>
      <w:r>
        <w:rPr>
          <w:rFonts w:hint="eastAsia" w:ascii="黑体" w:hAnsi="黑体" w:eastAsia="黑体" w:cs="黑体"/>
        </w:rPr>
        <w:t>第六条</w:t>
      </w:r>
      <w:r>
        <w:rPr>
          <w:rFonts w:hint="eastAsia"/>
        </w:rPr>
        <w:t xml:space="preserve"> 教师专业技术职务发生变化的，从聘任的次月起按新的专业技术职务对应的工作量定额标准执行。</w:t>
      </w:r>
    </w:p>
    <w:p>
      <w:pPr>
        <w:ind w:firstLine="632"/>
        <w:rPr>
          <w:rFonts w:hint="eastAsia" w:ascii="仿宋_GB2312" w:hAnsi="仿宋_GB2312" w:eastAsia="仿宋_GB2312" w:cs="仿宋_GB2312"/>
        </w:rPr>
      </w:pPr>
      <w:r>
        <w:rPr>
          <w:rFonts w:hint="eastAsia" w:ascii="黑体" w:hAnsi="黑体" w:eastAsia="黑体" w:cs="黑体"/>
        </w:rPr>
        <w:t>第七条</w:t>
      </w:r>
      <w:r>
        <w:rPr>
          <w:rFonts w:hint="eastAsia"/>
        </w:rPr>
        <w:t xml:space="preserve"> 教师可用教学工作量学时、教学建设工作量分值冲抵科研工作量分值，科研工作量分值可以冲抵教学建设工作量中的教研分值，冲抵标准为</w:t>
      </w:r>
      <w:r>
        <w:rPr>
          <w:rFonts w:hint="eastAsia" w:ascii="仿宋_GB2312" w:hAnsi="仿宋_GB2312" w:eastAsia="仿宋_GB2312" w:cs="仿宋_GB2312"/>
        </w:rPr>
        <w:t>1学时或1教学建设分值对应5科研工作量分值，冲抵上限为相应工作量定额的15%，科研服务型教师冲抵上限可以达到20%。用于冲抵的科研项目、科研成果的内容应与学院事业发展相关。</w:t>
      </w:r>
    </w:p>
    <w:p>
      <w:pPr>
        <w:ind w:firstLine="632"/>
        <w:rPr>
          <w:rFonts w:hint="eastAsia" w:ascii="仿宋_GB2312" w:hAnsi="仿宋_GB2312" w:eastAsia="仿宋_GB2312" w:cs="仿宋_GB2312"/>
        </w:rPr>
      </w:pPr>
      <w:r>
        <w:rPr>
          <w:rFonts w:hint="eastAsia" w:ascii="黑体" w:hAnsi="黑体" w:eastAsia="黑体" w:cs="黑体"/>
        </w:rPr>
        <w:t>第八条</w:t>
      </w:r>
      <w:r>
        <w:rPr>
          <w:rFonts w:hint="eastAsia"/>
        </w:rPr>
        <w:t xml:space="preserve"> 教师主持的省部级重点项目、国家级项目，超额完成当年科研工作量定额的，超额</w:t>
      </w:r>
      <w:r>
        <w:rPr>
          <w:rFonts w:hint="eastAsia" w:ascii="仿宋_GB2312" w:hAnsi="仿宋_GB2312" w:eastAsia="仿宋_GB2312" w:cs="仿宋_GB2312"/>
        </w:rPr>
        <w:t>部分可以转入次年，转入的工作量不能超过次年科研工作量定额的30%。</w:t>
      </w:r>
    </w:p>
    <w:p>
      <w:pPr>
        <w:ind w:firstLine="632"/>
      </w:pPr>
      <w:r>
        <w:rPr>
          <w:rFonts w:hint="eastAsia" w:ascii="黑体" w:hAnsi="黑体" w:eastAsia="黑体" w:cs="黑体"/>
        </w:rPr>
        <w:t xml:space="preserve">第九条 </w:t>
      </w:r>
      <w:r>
        <w:rPr>
          <w:rFonts w:hint="eastAsia"/>
        </w:rPr>
        <w:t>聘在以下岗位的兼职教师，公共服务工作量应达到同类同级岗位教学型教师规定的工作量定额，教学、教学建设、科研工作量须达到以下要求：</w:t>
      </w:r>
    </w:p>
    <w:p>
      <w:pPr>
        <w:ind w:firstLine="632"/>
      </w:pPr>
      <w:r>
        <w:rPr>
          <w:rFonts w:hint="eastAsia" w:ascii="仿宋_GB2312" w:hAnsi="仿宋_GB2312" w:eastAsia="仿宋_GB2312" w:cs="仿宋_GB2312"/>
        </w:rPr>
        <w:t>1.</w:t>
      </w:r>
      <w:r>
        <w:rPr>
          <w:rFonts w:hint="eastAsia"/>
        </w:rPr>
        <w:t>教师担任二级教学单位党政领导的，年教学基本工作量定额</w:t>
      </w:r>
      <w:r>
        <w:rPr>
          <w:rFonts w:hint="eastAsia" w:ascii="仿宋_GB2312" w:hAnsi="仿宋_GB2312" w:eastAsia="仿宋_GB2312" w:cs="仿宋_GB2312"/>
        </w:rPr>
        <w:t>为64学时。教学建设工作量须达到同类同级岗位教学型教师规定的工作量定额，科研工作量须达到同类同级岗位教学型教师规定的工作量定额的1/2。</w:t>
      </w:r>
    </w:p>
    <w:p>
      <w:pPr>
        <w:ind w:firstLine="632"/>
        <w:rPr>
          <w:rFonts w:hint="eastAsia" w:ascii="仿宋_GB2312" w:hAnsi="仿宋_GB2312" w:eastAsia="仿宋_GB2312" w:cs="仿宋_GB2312"/>
        </w:rPr>
      </w:pPr>
      <w:r>
        <w:rPr>
          <w:rFonts w:hint="eastAsia" w:ascii="仿宋_GB2312" w:hAnsi="仿宋_GB2312" w:eastAsia="仿宋_GB2312" w:cs="仿宋_GB2312"/>
        </w:rPr>
        <w:t>2.教学单位教师担任党支部书记、兼职班主任的，承担的教学建设、科研工作量须达到同类同级岗位教学型教师规定的工作量定额的4/5。</w:t>
      </w:r>
    </w:p>
    <w:p>
      <w:pPr>
        <w:ind w:firstLine="632"/>
        <w:rPr>
          <w:rFonts w:hint="eastAsia" w:ascii="仿宋_GB2312" w:hAnsi="仿宋_GB2312" w:eastAsia="仿宋_GB2312" w:cs="仿宋_GB2312"/>
        </w:rPr>
      </w:pPr>
      <w:r>
        <w:rPr>
          <w:rFonts w:hint="eastAsia" w:ascii="仿宋_GB2312" w:hAnsi="仿宋_GB2312" w:eastAsia="仿宋_GB2312" w:cs="仿宋_GB2312"/>
        </w:rPr>
        <w:t>3.教师担任专职辅导员的，年教学工作量定额为64学时。教学建设工作量不作要求，科研工作量须达到同类同级岗位教学型教师规定的工作量定额的1/3。</w:t>
      </w:r>
    </w:p>
    <w:p>
      <w:pPr>
        <w:ind w:firstLine="632"/>
        <w:rPr>
          <w:rFonts w:hint="eastAsia" w:ascii="仿宋_GB2312" w:hAnsi="仿宋_GB2312" w:eastAsia="仿宋_GB2312" w:cs="仿宋_GB2312"/>
        </w:rPr>
      </w:pPr>
      <w:r>
        <w:rPr>
          <w:rFonts w:hint="eastAsia" w:ascii="仿宋_GB2312" w:hAnsi="仿宋_GB2312" w:eastAsia="仿宋_GB2312" w:cs="仿宋_GB2312"/>
        </w:rPr>
        <w:t>4.教师聘在其他坐班岗位的，年教学工作量定额为64学时。科研工作量须达到同类同级岗位教学型教师规定的工作量定额的1/2，教学建设工作量不作要求。</w:t>
      </w:r>
    </w:p>
    <w:p>
      <w:pPr>
        <w:ind w:firstLine="632"/>
        <w:rPr>
          <w:rFonts w:hint="eastAsia" w:ascii="仿宋_GB2312" w:hAnsi="仿宋_GB2312" w:eastAsia="仿宋_GB2312" w:cs="仿宋_GB2312"/>
        </w:rPr>
      </w:pPr>
      <w:r>
        <w:rPr>
          <w:rFonts w:hint="eastAsia" w:ascii="仿宋_GB2312" w:hAnsi="仿宋_GB2312" w:eastAsia="仿宋_GB2312" w:cs="仿宋_GB2312"/>
        </w:rPr>
        <w:t>5.同时兼任多个职务的，不重复计算减免工作量，按最高减免额度计算。</w:t>
      </w:r>
    </w:p>
    <w:p>
      <w:pPr>
        <w:ind w:firstLine="632"/>
        <w:rPr>
          <w:rFonts w:hint="eastAsia" w:ascii="仿宋_GB2312" w:hAnsi="仿宋_GB2312" w:eastAsia="仿宋_GB2312" w:cs="仿宋_GB2312"/>
        </w:rPr>
      </w:pPr>
      <w:r>
        <w:rPr>
          <w:rFonts w:hint="eastAsia" w:ascii="黑体" w:hAnsi="黑体" w:eastAsia="黑体" w:cs="黑体"/>
        </w:rPr>
        <w:t>第十条</w:t>
      </w:r>
      <w:r>
        <w:rPr>
          <w:rFonts w:hint="eastAsia"/>
        </w:rPr>
        <w:t xml:space="preserve"> 学院选派全脱产参加企业实践、借调和挂职的教师，教学工作量不作要求，其他工作量须达到同类同级岗位专任教师规定的工作量定额</w:t>
      </w:r>
      <w:r>
        <w:rPr>
          <w:rFonts w:hint="eastAsia" w:ascii="仿宋_GB2312" w:hAnsi="仿宋_GB2312" w:eastAsia="仿宋_GB2312" w:cs="仿宋_GB2312"/>
        </w:rPr>
        <w:t>的3/4。非全脱产的，应完成同类同级岗位专任教师规定的工作量定额。</w:t>
      </w:r>
    </w:p>
    <w:p>
      <w:pPr>
        <w:ind w:firstLine="632"/>
      </w:pPr>
      <w:r>
        <w:rPr>
          <w:rFonts w:hint="eastAsia" w:ascii="黑体" w:hAnsi="黑体" w:eastAsia="黑体" w:cs="黑体"/>
        </w:rPr>
        <w:t>第十一条</w:t>
      </w:r>
      <w:r>
        <w:rPr>
          <w:rFonts w:hint="eastAsia"/>
        </w:rPr>
        <w:t xml:space="preserve"> 根据上级要求选调的援疆干部、第一书记、对口帮扶等教师，工作量不作要求。</w:t>
      </w:r>
    </w:p>
    <w:p>
      <w:pPr>
        <w:ind w:firstLine="632"/>
        <w:rPr>
          <w:rFonts w:hint="eastAsia"/>
        </w:rPr>
      </w:pPr>
      <w:r>
        <w:rPr>
          <w:rFonts w:hint="eastAsia" w:ascii="黑体" w:hAnsi="黑体" w:eastAsia="黑体" w:cs="黑体"/>
        </w:rPr>
        <w:t>第十二条</w:t>
      </w:r>
      <w:r>
        <w:rPr>
          <w:rFonts w:hint="eastAsia"/>
        </w:rPr>
        <w:t xml:space="preserve"> 新入职聘在教师岗位且无高校教师资格证的人员，第一年原则上跟班听课，不直接上讲台，听课学时每周不少</w:t>
      </w:r>
      <w:r>
        <w:rPr>
          <w:rFonts w:hint="eastAsia" w:ascii="仿宋_GB2312" w:hAnsi="仿宋_GB2312" w:eastAsia="仿宋_GB2312" w:cs="仿宋_GB2312"/>
        </w:rPr>
        <w:t>于4</w:t>
      </w:r>
      <w:r>
        <w:rPr>
          <w:rFonts w:hint="eastAsia"/>
        </w:rPr>
        <w:t>学时。有高校教师资格证的，第一年教学工作量须达到同类同级岗位教师规定的工作量。</w:t>
      </w:r>
    </w:p>
    <w:p>
      <w:pPr>
        <w:keepNext/>
        <w:adjustRightInd w:val="0"/>
        <w:snapToGrid w:val="0"/>
        <w:ind w:firstLine="0" w:firstLineChars="0"/>
        <w:jc w:val="center"/>
        <w:rPr>
          <w:rFonts w:ascii="黑体" w:hAnsi="黑体" w:eastAsia="黑体"/>
          <w:szCs w:val="32"/>
        </w:rPr>
      </w:pPr>
      <w:r>
        <w:rPr>
          <w:rFonts w:hint="eastAsia" w:ascii="黑体" w:hAnsi="黑体" w:eastAsia="黑体"/>
          <w:szCs w:val="32"/>
        </w:rPr>
        <w:t>第三章 考核及结果运用</w:t>
      </w:r>
    </w:p>
    <w:p>
      <w:pPr>
        <w:ind w:firstLine="632"/>
      </w:pPr>
      <w:r>
        <w:rPr>
          <w:rFonts w:hint="eastAsia" w:ascii="黑体" w:hAnsi="黑体" w:eastAsia="黑体" w:cs="黑体"/>
        </w:rPr>
        <w:t>第十三条</w:t>
      </w:r>
      <w:r>
        <w:rPr>
          <w:rFonts w:hint="eastAsia"/>
        </w:rPr>
        <w:t xml:space="preserve"> 教师工作量考核工作由学院薪酬与绩效考核工作领导小组统一组织，各归口管理部门、各教学单位应严格按照岗位职责和工作量要求进行考核，完整记录保存平时工作记录和考核材料。其中：</w:t>
      </w:r>
    </w:p>
    <w:p>
      <w:pPr>
        <w:ind w:firstLine="632"/>
      </w:pPr>
      <w:r>
        <w:rPr>
          <w:rFonts w:hint="eastAsia"/>
        </w:rPr>
        <w:t>（一）教学工作量、教学建设工作量由二级教学单位认定，报教务处备案并抽查审核。</w:t>
      </w:r>
    </w:p>
    <w:p>
      <w:pPr>
        <w:ind w:firstLine="632"/>
      </w:pPr>
      <w:r>
        <w:rPr>
          <w:rFonts w:hint="eastAsia"/>
        </w:rPr>
        <w:t>（二）科研工作量由二级单位初核，报科研处复核。</w:t>
      </w:r>
    </w:p>
    <w:p>
      <w:pPr>
        <w:ind w:firstLine="632"/>
      </w:pPr>
      <w:r>
        <w:rPr>
          <w:rFonts w:hint="eastAsia"/>
        </w:rPr>
        <w:t>（三）公共服务工作量由二级单位认定，报人事处，由人事处协调相关部门审核。</w:t>
      </w:r>
    </w:p>
    <w:p>
      <w:pPr>
        <w:ind w:firstLine="632"/>
      </w:pPr>
      <w:r>
        <w:rPr>
          <w:rFonts w:hint="eastAsia" w:ascii="黑体" w:hAnsi="黑体" w:eastAsia="黑体" w:cs="黑体"/>
        </w:rPr>
        <w:t>第十四条</w:t>
      </w:r>
      <w:r>
        <w:rPr>
          <w:rFonts w:hint="eastAsia"/>
        </w:rPr>
        <w:t xml:space="preserve"> 教师工作量考核结果是年度考核、职务晋升、专业技术职务评聘、岗位晋级、评优评先以及绩效工资发放的依据。</w:t>
      </w:r>
    </w:p>
    <w:p>
      <w:pPr>
        <w:ind w:firstLine="632"/>
      </w:pPr>
      <w:r>
        <w:rPr>
          <w:rFonts w:hint="eastAsia" w:ascii="黑体" w:hAnsi="黑体" w:eastAsia="黑体" w:cs="黑体"/>
        </w:rPr>
        <w:t>第十五条</w:t>
      </w:r>
      <w:r>
        <w:rPr>
          <w:rFonts w:hint="eastAsia"/>
        </w:rPr>
        <w:t xml:space="preserve"> 根据考核结果，按照学院绩效工资管理的相关规定核发责任绩效，各项工作在岗位工作总量的权重如下：</w:t>
      </w:r>
    </w:p>
    <w:tbl>
      <w:tblPr>
        <w:tblStyle w:val="1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9"/>
        <w:gridCol w:w="1123"/>
        <w:gridCol w:w="1286"/>
        <w:gridCol w:w="993"/>
        <w:gridCol w:w="1275"/>
        <w:gridCol w:w="1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099" w:type="dxa"/>
            <w:vMerge w:val="restart"/>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教师类型</w:t>
            </w:r>
          </w:p>
        </w:tc>
        <w:tc>
          <w:tcPr>
            <w:tcW w:w="4677" w:type="dxa"/>
            <w:gridSpan w:val="4"/>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各项工作在岗位工作总量中所占权重</w:t>
            </w:r>
          </w:p>
        </w:tc>
        <w:tc>
          <w:tcPr>
            <w:tcW w:w="1724" w:type="dxa"/>
            <w:vMerge w:val="restart"/>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2099" w:type="dxa"/>
            <w:vMerge w:val="continue"/>
            <w:vAlign w:val="center"/>
          </w:tcPr>
          <w:p>
            <w:pPr>
              <w:spacing w:line="300" w:lineRule="exact"/>
              <w:ind w:firstLine="0" w:firstLineChars="0"/>
              <w:jc w:val="center"/>
              <w:rPr>
                <w:rFonts w:ascii="仿宋_GB2312" w:hAnsi="仿宋_GB2312" w:cs="仿宋_GB2312"/>
                <w:b/>
                <w:sz w:val="24"/>
              </w:rPr>
            </w:pPr>
          </w:p>
        </w:tc>
        <w:tc>
          <w:tcPr>
            <w:tcW w:w="1123"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教学</w:t>
            </w:r>
          </w:p>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工作量</w:t>
            </w:r>
          </w:p>
        </w:tc>
        <w:tc>
          <w:tcPr>
            <w:tcW w:w="1286"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教学建设工作量</w:t>
            </w:r>
          </w:p>
        </w:tc>
        <w:tc>
          <w:tcPr>
            <w:tcW w:w="993"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科研</w:t>
            </w:r>
          </w:p>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工作量</w:t>
            </w:r>
          </w:p>
        </w:tc>
        <w:tc>
          <w:tcPr>
            <w:tcW w:w="1275"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公共服务</w:t>
            </w:r>
          </w:p>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工作量</w:t>
            </w:r>
          </w:p>
        </w:tc>
        <w:tc>
          <w:tcPr>
            <w:tcW w:w="1724" w:type="dxa"/>
            <w:vMerge w:val="continue"/>
            <w:vAlign w:val="center"/>
          </w:tcPr>
          <w:p>
            <w:pPr>
              <w:spacing w:line="300" w:lineRule="exact"/>
              <w:ind w:firstLine="0" w:firstLineChars="0"/>
              <w:jc w:val="center"/>
              <w:rPr>
                <w:rFonts w:ascii="仿宋_GB2312" w:hAnsi="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2099"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教学型教师</w:t>
            </w:r>
          </w:p>
        </w:tc>
        <w:tc>
          <w:tcPr>
            <w:tcW w:w="1123" w:type="dxa"/>
            <w:vAlign w:val="center"/>
          </w:tcPr>
          <w:p>
            <w:pPr>
              <w:spacing w:line="300" w:lineRule="exact"/>
              <w:ind w:firstLine="0" w:firstLineChars="0"/>
              <w:jc w:val="center"/>
              <w:rPr>
                <w:rFonts w:ascii="仿宋_GB2312" w:hAnsi="仿宋_GB2312" w:cs="仿宋_GB2312"/>
                <w:sz w:val="24"/>
              </w:rPr>
            </w:pPr>
            <w:r>
              <w:rPr>
                <w:rFonts w:ascii="仿宋_GB2312" w:hAnsi="仿宋_GB2312" w:cs="仿宋_GB2312"/>
                <w:sz w:val="24"/>
              </w:rPr>
              <w:t>50</w:t>
            </w:r>
            <w:r>
              <w:rPr>
                <w:rFonts w:hint="eastAsia" w:ascii="仿宋_GB2312" w:hAnsi="仿宋_GB2312" w:cs="仿宋_GB2312"/>
                <w:sz w:val="24"/>
              </w:rPr>
              <w:t>%</w:t>
            </w:r>
          </w:p>
        </w:tc>
        <w:tc>
          <w:tcPr>
            <w:tcW w:w="1286" w:type="dxa"/>
            <w:vAlign w:val="center"/>
          </w:tcPr>
          <w:p>
            <w:pPr>
              <w:spacing w:line="300" w:lineRule="exact"/>
              <w:ind w:firstLine="0" w:firstLineChars="0"/>
              <w:jc w:val="center"/>
              <w:rPr>
                <w:rFonts w:ascii="仿宋_GB2312" w:hAnsi="仿宋_GB2312" w:cs="仿宋_GB2312"/>
                <w:sz w:val="24"/>
              </w:rPr>
            </w:pPr>
            <w:r>
              <w:rPr>
                <w:rFonts w:ascii="仿宋_GB2312" w:hAnsi="仿宋_GB2312" w:cs="仿宋_GB2312"/>
                <w:sz w:val="24"/>
              </w:rPr>
              <w:t>30</w:t>
            </w:r>
            <w:r>
              <w:rPr>
                <w:rFonts w:hint="eastAsia" w:ascii="仿宋_GB2312" w:hAnsi="仿宋_GB2312" w:cs="仿宋_GB2312"/>
                <w:sz w:val="24"/>
              </w:rPr>
              <w:t>%</w:t>
            </w:r>
          </w:p>
        </w:tc>
        <w:tc>
          <w:tcPr>
            <w:tcW w:w="993"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15%</w:t>
            </w:r>
          </w:p>
        </w:tc>
        <w:tc>
          <w:tcPr>
            <w:tcW w:w="1275"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5%</w:t>
            </w:r>
          </w:p>
        </w:tc>
        <w:tc>
          <w:tcPr>
            <w:tcW w:w="1724"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099"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科研服务型教师</w:t>
            </w:r>
          </w:p>
        </w:tc>
        <w:tc>
          <w:tcPr>
            <w:tcW w:w="1123" w:type="dxa"/>
            <w:vAlign w:val="center"/>
          </w:tcPr>
          <w:p>
            <w:pPr>
              <w:spacing w:line="300" w:lineRule="exact"/>
              <w:ind w:firstLine="0" w:firstLineChars="0"/>
              <w:jc w:val="center"/>
              <w:rPr>
                <w:rFonts w:ascii="仿宋_GB2312" w:hAnsi="仿宋_GB2312" w:cs="仿宋_GB2312"/>
                <w:sz w:val="24"/>
              </w:rPr>
            </w:pPr>
            <w:r>
              <w:rPr>
                <w:rFonts w:ascii="仿宋_GB2312" w:hAnsi="仿宋_GB2312" w:cs="仿宋_GB2312"/>
                <w:sz w:val="24"/>
              </w:rPr>
              <w:t>5</w:t>
            </w:r>
            <w:r>
              <w:rPr>
                <w:rFonts w:hint="eastAsia" w:ascii="仿宋_GB2312" w:hAnsi="仿宋_GB2312" w:cs="仿宋_GB2312"/>
                <w:sz w:val="24"/>
              </w:rPr>
              <w:t>%</w:t>
            </w:r>
          </w:p>
        </w:tc>
        <w:tc>
          <w:tcPr>
            <w:tcW w:w="1286" w:type="dxa"/>
            <w:vAlign w:val="center"/>
          </w:tcPr>
          <w:p>
            <w:pPr>
              <w:spacing w:line="300" w:lineRule="exact"/>
              <w:ind w:firstLine="0" w:firstLineChars="0"/>
              <w:jc w:val="center"/>
              <w:rPr>
                <w:rFonts w:ascii="仿宋_GB2312" w:hAnsi="仿宋_GB2312" w:cs="仿宋_GB2312"/>
                <w:sz w:val="24"/>
              </w:rPr>
            </w:pPr>
            <w:r>
              <w:rPr>
                <w:rFonts w:ascii="仿宋_GB2312" w:hAnsi="仿宋_GB2312" w:cs="仿宋_GB2312"/>
                <w:sz w:val="24"/>
              </w:rPr>
              <w:t>40</w:t>
            </w:r>
            <w:r>
              <w:rPr>
                <w:rFonts w:hint="eastAsia" w:ascii="仿宋_GB2312" w:hAnsi="仿宋_GB2312" w:cs="仿宋_GB2312"/>
                <w:sz w:val="24"/>
              </w:rPr>
              <w:t>%</w:t>
            </w:r>
          </w:p>
        </w:tc>
        <w:tc>
          <w:tcPr>
            <w:tcW w:w="993" w:type="dxa"/>
            <w:vAlign w:val="center"/>
          </w:tcPr>
          <w:p>
            <w:pPr>
              <w:spacing w:line="300" w:lineRule="exact"/>
              <w:ind w:firstLine="0" w:firstLineChars="0"/>
              <w:jc w:val="center"/>
              <w:rPr>
                <w:rFonts w:ascii="仿宋_GB2312" w:hAnsi="仿宋_GB2312" w:cs="仿宋_GB2312"/>
                <w:sz w:val="24"/>
              </w:rPr>
            </w:pPr>
            <w:r>
              <w:rPr>
                <w:rFonts w:ascii="仿宋_GB2312" w:hAnsi="仿宋_GB2312" w:cs="仿宋_GB2312"/>
                <w:sz w:val="24"/>
              </w:rPr>
              <w:t>5</w:t>
            </w:r>
            <w:r>
              <w:rPr>
                <w:rFonts w:hint="eastAsia" w:ascii="仿宋_GB2312" w:hAnsi="仿宋_GB2312" w:cs="仿宋_GB2312"/>
                <w:sz w:val="24"/>
              </w:rPr>
              <w:t>0%</w:t>
            </w:r>
          </w:p>
        </w:tc>
        <w:tc>
          <w:tcPr>
            <w:tcW w:w="1275"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5%</w:t>
            </w:r>
          </w:p>
        </w:tc>
        <w:tc>
          <w:tcPr>
            <w:tcW w:w="1724"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099"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Ⅰ类兼职教师</w:t>
            </w:r>
          </w:p>
        </w:tc>
        <w:tc>
          <w:tcPr>
            <w:tcW w:w="1123" w:type="dxa"/>
            <w:vAlign w:val="center"/>
          </w:tcPr>
          <w:p>
            <w:pPr>
              <w:spacing w:line="300" w:lineRule="exact"/>
              <w:ind w:firstLine="0" w:firstLineChars="0"/>
              <w:jc w:val="center"/>
              <w:rPr>
                <w:rFonts w:ascii="仿宋_GB2312" w:hAnsi="仿宋_GB2312" w:cs="仿宋_GB2312"/>
                <w:sz w:val="24"/>
              </w:rPr>
            </w:pPr>
            <w:r>
              <w:rPr>
                <w:rFonts w:ascii="仿宋_GB2312" w:hAnsi="仿宋_GB2312" w:cs="仿宋_GB2312"/>
                <w:sz w:val="24"/>
              </w:rPr>
              <w:t>3</w:t>
            </w:r>
            <w:r>
              <w:rPr>
                <w:rFonts w:hint="eastAsia" w:ascii="仿宋_GB2312" w:hAnsi="仿宋_GB2312" w:cs="仿宋_GB2312"/>
                <w:sz w:val="24"/>
              </w:rPr>
              <w:t>0%</w:t>
            </w:r>
          </w:p>
        </w:tc>
        <w:tc>
          <w:tcPr>
            <w:tcW w:w="1286"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15%</w:t>
            </w:r>
          </w:p>
        </w:tc>
        <w:tc>
          <w:tcPr>
            <w:tcW w:w="993"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15%</w:t>
            </w:r>
          </w:p>
        </w:tc>
        <w:tc>
          <w:tcPr>
            <w:tcW w:w="1275"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5%</w:t>
            </w:r>
          </w:p>
        </w:tc>
        <w:tc>
          <w:tcPr>
            <w:tcW w:w="1724"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管理服务工作占</w:t>
            </w:r>
            <w:r>
              <w:rPr>
                <w:rFonts w:ascii="仿宋_GB2312" w:hAnsi="仿宋_GB2312" w:cs="仿宋_GB2312"/>
                <w:sz w:val="24"/>
              </w:rPr>
              <w:t>3</w:t>
            </w:r>
            <w:r>
              <w:rPr>
                <w:rFonts w:hint="eastAsia" w:ascii="仿宋_GB2312" w:hAnsi="仿宋_GB2312" w:cs="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099"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Ⅱ类兼职教师</w:t>
            </w:r>
          </w:p>
        </w:tc>
        <w:tc>
          <w:tcPr>
            <w:tcW w:w="1123"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10%</w:t>
            </w:r>
          </w:p>
        </w:tc>
        <w:tc>
          <w:tcPr>
            <w:tcW w:w="1286"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w:t>
            </w:r>
          </w:p>
        </w:tc>
        <w:tc>
          <w:tcPr>
            <w:tcW w:w="993"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10%</w:t>
            </w:r>
          </w:p>
        </w:tc>
        <w:tc>
          <w:tcPr>
            <w:tcW w:w="1275"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5%</w:t>
            </w:r>
          </w:p>
        </w:tc>
        <w:tc>
          <w:tcPr>
            <w:tcW w:w="1724" w:type="dxa"/>
            <w:vAlign w:val="center"/>
          </w:tcPr>
          <w:p>
            <w:pPr>
              <w:spacing w:line="300" w:lineRule="exact"/>
              <w:ind w:firstLine="0" w:firstLineChars="0"/>
              <w:jc w:val="center"/>
              <w:rPr>
                <w:rFonts w:ascii="仿宋_GB2312" w:hAnsi="仿宋_GB2312" w:cs="仿宋_GB2312"/>
                <w:sz w:val="24"/>
              </w:rPr>
            </w:pPr>
            <w:r>
              <w:rPr>
                <w:rFonts w:hint="eastAsia" w:ascii="仿宋_GB2312" w:hAnsi="仿宋_GB2312" w:cs="仿宋_GB2312"/>
                <w:sz w:val="24"/>
              </w:rPr>
              <w:t>管理服务工作占75%</w:t>
            </w:r>
          </w:p>
        </w:tc>
      </w:tr>
    </w:tbl>
    <w:p>
      <w:pPr>
        <w:spacing w:line="540" w:lineRule="exact"/>
        <w:ind w:firstLine="552"/>
        <w:rPr>
          <w:rFonts w:ascii="仿宋_GB2312" w:hAnsi="仿宋_GB2312" w:cs="仿宋_GB2312"/>
          <w:sz w:val="28"/>
          <w:szCs w:val="22"/>
        </w:rPr>
      </w:pPr>
      <w:r>
        <w:rPr>
          <w:rFonts w:hint="eastAsia" w:ascii="仿宋_GB2312" w:hAnsi="仿宋_GB2312" w:cs="仿宋_GB2312"/>
          <w:sz w:val="28"/>
          <w:szCs w:val="22"/>
        </w:rPr>
        <w:t>注：Ⅰ类兼职教师指第九条第1、2、3项所列教师；Ⅱ类兼职教师指第九条第4项所列教师。</w:t>
      </w:r>
    </w:p>
    <w:p>
      <w:pPr>
        <w:spacing w:line="540" w:lineRule="exact"/>
        <w:ind w:firstLine="632"/>
        <w:rPr>
          <w:rFonts w:hint="eastAsia" w:ascii="仿宋_GB2312" w:hAnsi="仿宋_GB2312" w:eastAsia="仿宋_GB2312" w:cs="仿宋_GB2312"/>
        </w:rPr>
      </w:pPr>
      <w:r>
        <w:rPr>
          <w:rFonts w:hint="eastAsia" w:ascii="黑体" w:hAnsi="黑体" w:eastAsia="黑体" w:cs="黑体"/>
        </w:rPr>
        <w:t>第十六条</w:t>
      </w:r>
      <w:r>
        <w:rPr>
          <w:rFonts w:hint="eastAsia"/>
        </w:rPr>
        <w:t xml:space="preserve"> 凡未完成教师工作量各部分定额的教师，年度考核</w:t>
      </w:r>
      <w:r>
        <w:rPr>
          <w:rFonts w:hint="eastAsia" w:ascii="仿宋_GB2312" w:hAnsi="仿宋_GB2312" w:eastAsia="仿宋_GB2312" w:cs="仿宋_GB2312"/>
        </w:rPr>
        <w:t>结果不能评为合格及以上等次，其中：</w:t>
      </w:r>
    </w:p>
    <w:p>
      <w:pPr>
        <w:ind w:firstLine="632"/>
        <w:rPr>
          <w:rFonts w:hint="eastAsia" w:ascii="仿宋_GB2312" w:hAnsi="仿宋_GB2312" w:eastAsia="仿宋_GB2312" w:cs="仿宋_GB2312"/>
        </w:rPr>
      </w:pPr>
      <w:r>
        <w:rPr>
          <w:rFonts w:hint="eastAsia" w:ascii="仿宋_GB2312" w:hAnsi="仿宋_GB2312" w:eastAsia="仿宋_GB2312" w:cs="仿宋_GB2312"/>
        </w:rPr>
        <w:t>未完成教学、科研工作量定额的，年度考核结果为不合格。</w:t>
      </w:r>
    </w:p>
    <w:p>
      <w:pPr>
        <w:ind w:firstLine="632"/>
        <w:rPr>
          <w:rFonts w:hint="eastAsia" w:ascii="仿宋_GB2312" w:hAnsi="仿宋_GB2312" w:eastAsia="仿宋_GB2312" w:cs="仿宋_GB2312"/>
        </w:rPr>
      </w:pPr>
      <w:r>
        <w:rPr>
          <w:rFonts w:hint="eastAsia" w:ascii="仿宋_GB2312" w:hAnsi="仿宋_GB2312" w:eastAsia="仿宋_GB2312" w:cs="仿宋_GB2312"/>
        </w:rPr>
        <w:t>教学建设、公共服务工作量定额完成比例达到60%及以上、低于100%的，年度考核结果为基本合格；低于60%的，年度考核结果为不合格。</w:t>
      </w:r>
    </w:p>
    <w:p>
      <w:pPr>
        <w:spacing w:line="540" w:lineRule="exact"/>
        <w:ind w:firstLine="632"/>
      </w:pPr>
      <w:r>
        <w:rPr>
          <w:rFonts w:hint="eastAsia" w:ascii="黑体" w:hAnsi="黑体" w:eastAsia="黑体" w:cs="黑体"/>
        </w:rPr>
        <w:t>第十七条</w:t>
      </w:r>
      <w:r>
        <w:rPr>
          <w:rFonts w:hint="eastAsia"/>
        </w:rPr>
        <w:t xml:space="preserve"> 因不服从工作安排而造成未完成基本工作量的，年度考核不合格。</w:t>
      </w:r>
    </w:p>
    <w:p>
      <w:pPr>
        <w:spacing w:line="540" w:lineRule="exact"/>
        <w:ind w:firstLine="632"/>
        <w:rPr>
          <w:rFonts w:hint="eastAsia" w:ascii="仿宋_GB2312" w:hAnsi="仿宋_GB2312" w:eastAsia="仿宋_GB2312" w:cs="仿宋_GB2312"/>
        </w:rPr>
      </w:pPr>
      <w:r>
        <w:rPr>
          <w:rFonts w:hint="eastAsia" w:ascii="黑体" w:hAnsi="黑体" w:eastAsia="黑体" w:cs="黑体"/>
        </w:rPr>
        <w:t>第十八条</w:t>
      </w:r>
      <w:r>
        <w:rPr>
          <w:rFonts w:hint="eastAsia"/>
        </w:rPr>
        <w:t xml:space="preserve"> </w:t>
      </w:r>
      <w:r>
        <w:rPr>
          <w:rFonts w:hint="eastAsia" w:ascii="仿宋_GB2312" w:hAnsi="仿宋_GB2312" w:eastAsia="仿宋_GB2312" w:cs="仿宋_GB2312"/>
        </w:rPr>
        <w:t>考核按照自然年进行，即各项工作的工作量统计期限为当年1月1日至12月31日。</w:t>
      </w:r>
    </w:p>
    <w:p>
      <w:pPr>
        <w:adjustRightInd w:val="0"/>
        <w:snapToGrid w:val="0"/>
        <w:spacing w:line="540" w:lineRule="exact"/>
        <w:ind w:firstLine="0" w:firstLineChars="0"/>
        <w:jc w:val="center"/>
        <w:rPr>
          <w:rFonts w:ascii="黑体" w:hAnsi="黑体" w:eastAsia="黑体"/>
          <w:szCs w:val="32"/>
        </w:rPr>
      </w:pPr>
      <w:r>
        <w:rPr>
          <w:rFonts w:hint="eastAsia" w:ascii="黑体" w:hAnsi="黑体" w:eastAsia="黑体"/>
          <w:szCs w:val="32"/>
        </w:rPr>
        <w:t>第四章 附则</w:t>
      </w:r>
    </w:p>
    <w:p>
      <w:pPr>
        <w:spacing w:line="540" w:lineRule="exact"/>
        <w:ind w:firstLine="632"/>
      </w:pPr>
      <w:r>
        <w:rPr>
          <w:rFonts w:hint="eastAsia" w:ascii="黑体" w:hAnsi="黑体" w:eastAsia="黑体" w:cs="黑体"/>
        </w:rPr>
        <w:t>第十九条</w:t>
      </w:r>
      <w:r>
        <w:rPr>
          <w:rFonts w:hint="eastAsia"/>
        </w:rPr>
        <w:t xml:space="preserve"> 本办法由人事处会同教务处、科研处解释。</w:t>
      </w:r>
    </w:p>
    <w:p>
      <w:pPr>
        <w:spacing w:line="540" w:lineRule="exact"/>
        <w:ind w:firstLine="632"/>
      </w:pPr>
      <w:r>
        <w:rPr>
          <w:rFonts w:hint="eastAsia" w:ascii="黑体" w:hAnsi="黑体" w:eastAsia="黑体" w:cs="黑体"/>
        </w:rPr>
        <w:t>第二十条</w:t>
      </w:r>
      <w:r>
        <w:rPr>
          <w:rFonts w:hint="eastAsia"/>
        </w:rPr>
        <w:t xml:space="preserve"> 本办法自发布之日起施行。</w:t>
      </w:r>
    </w:p>
    <w:p>
      <w:pPr>
        <w:pStyle w:val="2"/>
        <w:ind w:firstLine="715"/>
      </w:pPr>
    </w:p>
    <w:p>
      <w:pPr>
        <w:spacing w:line="540" w:lineRule="exact"/>
        <w:ind w:firstLine="632"/>
        <w:rPr>
          <w:rFonts w:hint="eastAsia" w:ascii="仿宋_GB2312" w:hAnsi="仿宋_GB2312" w:eastAsia="仿宋_GB2312" w:cs="仿宋_GB2312"/>
        </w:rPr>
      </w:pPr>
      <w:r>
        <w:rPr>
          <w:rFonts w:hint="eastAsia"/>
        </w:rPr>
        <w:t>附件：</w:t>
      </w:r>
      <w:r>
        <w:rPr>
          <w:rFonts w:hint="eastAsia" w:ascii="仿宋_GB2312" w:hAnsi="仿宋_GB2312" w:eastAsia="仿宋_GB2312" w:cs="仿宋_GB2312"/>
        </w:rPr>
        <w:t>1.北京青年政治学院教师教学工作量计算办法</w:t>
      </w:r>
    </w:p>
    <w:p>
      <w:pPr>
        <w:spacing w:line="540" w:lineRule="exact"/>
        <w:ind w:firstLine="1580" w:firstLineChars="500"/>
        <w:rPr>
          <w:rFonts w:hint="eastAsia" w:ascii="仿宋_GB2312" w:hAnsi="仿宋_GB2312" w:eastAsia="仿宋_GB2312" w:cs="仿宋_GB2312"/>
        </w:rPr>
      </w:pPr>
      <w:r>
        <w:rPr>
          <w:rFonts w:hint="eastAsia" w:ascii="仿宋_GB2312" w:hAnsi="仿宋_GB2312" w:eastAsia="仿宋_GB2312" w:cs="仿宋_GB2312"/>
        </w:rPr>
        <w:t>2.北京青年政治学院教师教学建设工作量计算办法</w:t>
      </w:r>
    </w:p>
    <w:p>
      <w:pPr>
        <w:spacing w:line="540" w:lineRule="exact"/>
        <w:ind w:firstLine="1580" w:firstLineChars="500"/>
        <w:rPr>
          <w:rFonts w:ascii="仿宋_GB2312" w:hAnsi="华文仿宋"/>
          <w:szCs w:val="32"/>
        </w:rPr>
      </w:pPr>
      <w:r>
        <w:rPr>
          <w:rFonts w:hint="eastAsia" w:ascii="仿宋_GB2312" w:hAnsi="仿宋_GB2312" w:eastAsia="仿宋_GB2312" w:cs="仿宋_GB2312"/>
        </w:rPr>
        <w:t>3.北京青</w:t>
      </w:r>
      <w:r>
        <w:rPr>
          <w:rFonts w:hint="eastAsia"/>
        </w:rPr>
        <w:t>年政治学院教职工科研工作量计算办法</w:t>
      </w:r>
    </w:p>
    <w:p>
      <w:pPr>
        <w:ind w:firstLine="632"/>
        <w:rPr>
          <w:rFonts w:ascii="黑体" w:hAnsi="黑体" w:eastAsia="黑体" w:cs="黑体"/>
          <w:color w:val="000000" w:themeColor="text1"/>
          <w:szCs w:val="3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br w:type="page"/>
      </w:r>
    </w:p>
    <w:p>
      <w:pPr>
        <w:keepNext/>
        <w:adjustRightInd w:val="0"/>
        <w:snapToGrid w:val="0"/>
        <w:ind w:firstLine="0" w:firstLineChars="0"/>
        <w:rPr>
          <w:rFonts w:ascii="黑体" w:hAnsi="黑体" w:eastAsia="黑体" w:cs="黑体"/>
          <w:color w:val="000000" w:themeColor="text1"/>
          <w:szCs w:val="3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附件1</w:t>
      </w:r>
    </w:p>
    <w:p>
      <w:pPr>
        <w:keepNext/>
        <w:adjustRightInd w:val="0"/>
        <w:snapToGrid w:val="0"/>
        <w:spacing w:before="579" w:beforeLines="100" w:after="579" w:afterLines="100"/>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北京青年政治学院</w:t>
      </w:r>
      <w:r>
        <w:rPr>
          <w:rFonts w:hint="eastAsia"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44"/>
          <w:szCs w:val="44"/>
        </w:rPr>
        <w:t>教师教学工作量计算办法</w:t>
      </w:r>
    </w:p>
    <w:p>
      <w:pPr>
        <w:ind w:firstLine="632"/>
      </w:pPr>
      <w:r>
        <w:rPr>
          <w:rFonts w:hint="eastAsia" w:ascii="黑体" w:hAnsi="黑体" w:eastAsia="黑体" w:cs="黑体"/>
        </w:rPr>
        <w:t>第一条</w:t>
      </w:r>
      <w:r>
        <w:rPr>
          <w:rFonts w:hint="eastAsia"/>
        </w:rPr>
        <w:t xml:space="preserve"> 为进一步规范教学管理，强化教师教学工作职责，提升教师教学工作积极性，引导教师在教学实践中不断创新，推动“三教”改革工作深入开展，落实好立德树人根本任务，结合学院实际，特制定本办法。</w:t>
      </w:r>
    </w:p>
    <w:p>
      <w:pPr>
        <w:ind w:firstLine="632"/>
      </w:pPr>
      <w:r>
        <w:rPr>
          <w:rFonts w:hint="eastAsia" w:ascii="黑体" w:hAnsi="黑体" w:eastAsia="黑体" w:cs="黑体"/>
        </w:rPr>
        <w:t>第二条</w:t>
      </w:r>
      <w:r>
        <w:rPr>
          <w:rFonts w:hint="eastAsia"/>
        </w:rPr>
        <w:t xml:space="preserve"> 本办法所指教师是指学院从事教育教学工作任务的专任教师和行政兼课教师，其中专任教师包括教学型教师和科研服务型教师。 </w:t>
      </w:r>
    </w:p>
    <w:p>
      <w:pPr>
        <w:ind w:firstLine="632"/>
      </w:pPr>
      <w:r>
        <w:rPr>
          <w:rFonts w:hint="eastAsia" w:ascii="黑体" w:hAnsi="黑体" w:eastAsia="黑体" w:cs="黑体"/>
        </w:rPr>
        <w:t>第三条</w:t>
      </w:r>
      <w:r>
        <w:rPr>
          <w:rFonts w:hint="eastAsia"/>
        </w:rPr>
        <w:t xml:space="preserve"> 本办法所指教学工作量是指教师完成的教学计划内课堂教学工作量及实践教学工作量。</w:t>
      </w:r>
    </w:p>
    <w:p>
      <w:pPr>
        <w:ind w:firstLine="632"/>
      </w:pPr>
      <w:r>
        <w:rPr>
          <w:rFonts w:hint="eastAsia" w:ascii="黑体" w:hAnsi="黑体" w:eastAsia="黑体" w:cs="黑体"/>
        </w:rPr>
        <w:t>第四条</w:t>
      </w:r>
      <w:r>
        <w:rPr>
          <w:rFonts w:hint="eastAsia"/>
        </w:rPr>
        <w:t xml:space="preserve"> 教学工</w:t>
      </w:r>
      <w:r>
        <w:rPr>
          <w:rFonts w:hint="eastAsia" w:ascii="仿宋_GB2312" w:hAnsi="仿宋_GB2312" w:eastAsia="仿宋_GB2312" w:cs="仿宋_GB2312"/>
        </w:rPr>
        <w:t>作量采取标准学时计算（简称学时）。一个标准学时（1学时）为一节课</w:t>
      </w:r>
      <w:r>
        <w:rPr>
          <w:rFonts w:hint="eastAsia"/>
        </w:rPr>
        <w:t>。</w:t>
      </w:r>
    </w:p>
    <w:p>
      <w:pPr>
        <w:ind w:firstLine="632"/>
      </w:pPr>
      <w:r>
        <w:rPr>
          <w:rFonts w:hint="eastAsia" w:ascii="黑体" w:hAnsi="黑体" w:eastAsia="黑体" w:cs="黑体"/>
        </w:rPr>
        <w:t>第五条</w:t>
      </w:r>
      <w:r>
        <w:rPr>
          <w:rFonts w:hint="eastAsia"/>
        </w:rPr>
        <w:t xml:space="preserve"> 学时计算以教务处下达的教学任务为依据，教师不得自行调整授课时数。</w:t>
      </w:r>
    </w:p>
    <w:p>
      <w:pPr>
        <w:ind w:firstLine="632"/>
      </w:pPr>
      <w:r>
        <w:rPr>
          <w:rFonts w:hint="eastAsia" w:ascii="黑体" w:hAnsi="黑体" w:eastAsia="黑体" w:cs="黑体"/>
        </w:rPr>
        <w:t>第六条</w:t>
      </w:r>
      <w:r>
        <w:rPr>
          <w:rFonts w:hint="eastAsia"/>
        </w:rPr>
        <w:t xml:space="preserve"> 专任教师教学工作量定额。</w:t>
      </w:r>
    </w:p>
    <w:p>
      <w:pPr>
        <w:ind w:firstLine="632"/>
        <w:rPr>
          <w:rFonts w:hint="eastAsia"/>
        </w:rPr>
      </w:pPr>
      <w:r>
        <w:rPr>
          <w:rFonts w:hint="eastAsia"/>
        </w:rPr>
        <w:t>（一）教学型教师教学工作</w:t>
      </w:r>
      <w:r>
        <w:rPr>
          <w:rFonts w:hint="eastAsia" w:ascii="仿宋_GB2312" w:hAnsi="仿宋_GB2312" w:eastAsia="仿宋_GB2312" w:cs="仿宋_GB2312"/>
        </w:rPr>
        <w:t>量定额为每年380学时，科研服务型教师教学工作量定额为每年64学时。每</w:t>
      </w:r>
      <w:r>
        <w:rPr>
          <w:rFonts w:hint="eastAsia"/>
        </w:rPr>
        <w:t>学</w:t>
      </w:r>
      <w:r>
        <w:rPr>
          <w:rFonts w:hint="eastAsia" w:ascii="仿宋_GB2312" w:hAnsi="仿宋_GB2312" w:eastAsia="仿宋_GB2312" w:cs="仿宋_GB2312"/>
        </w:rPr>
        <w:t>期按19周</w:t>
      </w:r>
      <w:r>
        <w:rPr>
          <w:rFonts w:hint="eastAsia"/>
        </w:rPr>
        <w:t>计算教学工作量。</w:t>
      </w:r>
    </w:p>
    <w:p>
      <w:pPr>
        <w:ind w:firstLine="632"/>
        <w:rPr>
          <w:rFonts w:hint="eastAsia" w:eastAsia="仿宋_GB2312"/>
          <w:lang w:eastAsia="zh-CN"/>
        </w:rPr>
      </w:pPr>
      <w:r>
        <w:rPr>
          <w:rFonts w:hint="eastAsia"/>
        </w:rPr>
        <w:t>（二）为支持教师在教学方面取得突出业绩及开展高质量社会培训，学院为指导学生参加一类职业技能竞赛、参加教学能力比赛及开展社会培训的教师减免一定教学工作量</w:t>
      </w:r>
      <w:r>
        <w:rPr>
          <w:rFonts w:hint="eastAsia"/>
          <w:lang w:eastAsia="zh-CN"/>
        </w:rPr>
        <w:t>。</w:t>
      </w:r>
    </w:p>
    <w:p>
      <w:pPr>
        <w:ind w:firstLine="632"/>
        <w:rPr>
          <w:rFonts w:hint="eastAsia" w:ascii="仿宋_GB2312" w:hAnsi="仿宋_GB2312" w:eastAsia="仿宋_GB2312" w:cs="仿宋_GB2312"/>
        </w:rPr>
      </w:pPr>
      <w:r>
        <w:rPr>
          <w:rFonts w:hint="eastAsia" w:ascii="仿宋_GB2312" w:hAnsi="仿宋_GB2312" w:eastAsia="仿宋_GB2312" w:cs="仿宋_GB2312"/>
        </w:rPr>
        <w:t>1.教师指导学生参加一类国家级比赛，减免指导教师（国赛规定实际指导教师人数）规定的教学工作量的五分之一；教师指导学生参加一类市级比赛并获得一等奖，减免指导教师（市赛规定实际指导教师人数）规定的教学工作量的七分之一。</w:t>
      </w:r>
    </w:p>
    <w:p>
      <w:pPr>
        <w:ind w:firstLine="632"/>
        <w:rPr>
          <w:rFonts w:hint="eastAsia" w:ascii="仿宋_GB2312" w:hAnsi="仿宋_GB2312" w:eastAsia="仿宋_GB2312" w:cs="仿宋_GB2312"/>
        </w:rPr>
      </w:pPr>
      <w:r>
        <w:rPr>
          <w:rFonts w:hint="eastAsia" w:ascii="仿宋_GB2312" w:hAnsi="仿宋_GB2312" w:eastAsia="仿宋_GB2312" w:cs="仿宋_GB2312"/>
        </w:rPr>
        <w:t>2.教师参加全国教师教学能力比赛，减免参赛团队教师（国赛规定实际参赛教师人数）规定的教学工作量的四分之一；教师参加北京市教师教学能力比赛并获得一等奖，减免参赛团队教师（市赛规定实际参赛教师人数）规定的教学工作量的六分之一。</w:t>
      </w:r>
    </w:p>
    <w:p>
      <w:pPr>
        <w:ind w:firstLine="632"/>
        <w:rPr>
          <w:rFonts w:hint="eastAsia" w:ascii="仿宋_GB2312" w:hAnsi="仿宋_GB2312" w:eastAsia="仿宋_GB2312" w:cs="仿宋_GB2312"/>
        </w:rPr>
      </w:pPr>
      <w:r>
        <w:rPr>
          <w:rFonts w:hint="eastAsia" w:ascii="仿宋_GB2312" w:hAnsi="仿宋_GB2312" w:eastAsia="仿宋_GB2312" w:cs="仿宋_GB2312"/>
        </w:rPr>
        <w:t>3.教师根据学院及二级教学单位安排，面向社会人员开展的社会培训，每半天按4学时计入教学工作量。计入专任教师教学工作量定额的学时不超过定额总学时的10%。</w:t>
      </w:r>
    </w:p>
    <w:p>
      <w:pPr>
        <w:ind w:firstLine="632"/>
      </w:pPr>
      <w:r>
        <w:rPr>
          <w:rFonts w:hint="eastAsia" w:ascii="黑体" w:hAnsi="黑体" w:eastAsia="黑体" w:cs="黑体"/>
        </w:rPr>
        <w:t>第七条</w:t>
      </w:r>
      <w:r>
        <w:rPr>
          <w:rFonts w:hint="eastAsia"/>
        </w:rPr>
        <w:t xml:space="preserve"> 行政兼课教师教学工作量限额。</w:t>
      </w:r>
    </w:p>
    <w:p>
      <w:pPr>
        <w:ind w:firstLine="632"/>
        <w:rPr>
          <w:rFonts w:hint="eastAsia" w:ascii="仿宋_GB2312" w:hAnsi="仿宋_GB2312" w:eastAsia="仿宋_GB2312" w:cs="仿宋_GB2312"/>
        </w:rPr>
      </w:pPr>
      <w:r>
        <w:rPr>
          <w:rFonts w:hint="eastAsia" w:ascii="仿宋_GB2312" w:hAnsi="仿宋_GB2312" w:eastAsia="仿宋_GB2312" w:cs="仿宋_GB2312"/>
        </w:rPr>
        <w:t>行政兼课教师教学工作量限额。Ⅱ类兼职教师每学期教学工作量原则上每周不超过6学时,机关其他行政兼课教师每学期教学工作量原则上每周不超过4学时。教学单位行政兼课教师每学期教学工作量原则上每周不超过8学时。</w:t>
      </w:r>
    </w:p>
    <w:p>
      <w:pPr>
        <w:ind w:firstLine="632"/>
      </w:pPr>
      <w:r>
        <w:rPr>
          <w:rFonts w:hint="eastAsia" w:ascii="黑体" w:hAnsi="黑体" w:eastAsia="黑体" w:cs="黑体"/>
        </w:rPr>
        <w:t>第八条</w:t>
      </w:r>
      <w:r>
        <w:rPr>
          <w:rFonts w:hint="eastAsia"/>
        </w:rPr>
        <w:t xml:space="preserve"> 教学工作量计算方法。</w:t>
      </w:r>
    </w:p>
    <w:p>
      <w:pPr>
        <w:ind w:firstLine="632"/>
      </w:pPr>
      <w:r>
        <w:rPr>
          <w:rFonts w:hint="eastAsia"/>
        </w:rPr>
        <w:t>（一）课堂教学工作量</w:t>
      </w:r>
    </w:p>
    <w:p>
      <w:pPr>
        <w:ind w:firstLine="632"/>
      </w:pPr>
      <w:r>
        <w:rPr>
          <w:rFonts w:hint="eastAsia"/>
        </w:rPr>
        <w:t xml:space="preserve">课堂教学工作量按经学院审批的各专业教学进程表中相关课程的计划学时计算。 </w:t>
      </w:r>
    </w:p>
    <w:p>
      <w:pPr>
        <w:ind w:firstLine="632"/>
      </w:pPr>
      <w:r>
        <w:rPr>
          <w:rFonts w:hint="eastAsia"/>
        </w:rPr>
        <w:t>（二）实践教学工作量</w:t>
      </w:r>
    </w:p>
    <w:p>
      <w:pPr>
        <w:ind w:firstLine="632"/>
        <w:rPr>
          <w:rFonts w:hint="eastAsia" w:ascii="仿宋_GB2312" w:hAnsi="仿宋_GB2312" w:eastAsia="仿宋_GB2312" w:cs="仿宋_GB2312"/>
        </w:rPr>
      </w:pPr>
      <w:r>
        <w:rPr>
          <w:rFonts w:hint="eastAsia" w:ascii="仿宋_GB2312" w:hAnsi="仿宋_GB2312" w:eastAsia="仿宋_GB2312" w:cs="仿宋_GB2312"/>
        </w:rPr>
        <w:t>1.实训学期</w:t>
      </w:r>
    </w:p>
    <w:p>
      <w:pPr>
        <w:ind w:firstLine="632"/>
        <w:rPr>
          <w:rFonts w:hint="eastAsia" w:ascii="仿宋_GB2312" w:hAnsi="仿宋_GB2312" w:eastAsia="仿宋_GB2312" w:cs="仿宋_GB2312"/>
        </w:rPr>
      </w:pPr>
      <w:r>
        <w:rPr>
          <w:rFonts w:hint="eastAsia" w:ascii="仿宋_GB2312" w:hAnsi="仿宋_GB2312" w:eastAsia="仿宋_GB2312" w:cs="仿宋_GB2312"/>
        </w:rPr>
        <w:t>实训学期每班每周按24学时核计（要求完成不少于24学时的实践教学任务）。按分组或指导学生数计算教学工作量的需折合成学时，但总学时不超过实训学期计划学时数。</w:t>
      </w:r>
    </w:p>
    <w:p>
      <w:pPr>
        <w:ind w:firstLine="632"/>
        <w:rPr>
          <w:rFonts w:hint="eastAsia" w:ascii="仿宋_GB2312" w:hAnsi="仿宋_GB2312" w:eastAsia="仿宋_GB2312" w:cs="仿宋_GB2312"/>
        </w:rPr>
      </w:pPr>
      <w:r>
        <w:rPr>
          <w:rFonts w:hint="eastAsia" w:ascii="仿宋_GB2312" w:hAnsi="仿宋_GB2312" w:eastAsia="仿宋_GB2312" w:cs="仿宋_GB2312"/>
        </w:rPr>
        <w:t>2.岗位实习与毕业设计（论文）</w:t>
      </w:r>
    </w:p>
    <w:p>
      <w:pPr>
        <w:ind w:firstLine="632"/>
        <w:rPr>
          <w:rFonts w:hint="eastAsia" w:ascii="仿宋_GB2312" w:hAnsi="仿宋_GB2312" w:eastAsia="仿宋_GB2312" w:cs="仿宋_GB2312"/>
        </w:rPr>
      </w:pPr>
      <w:r>
        <w:rPr>
          <w:rFonts w:hint="eastAsia" w:ascii="仿宋_GB2312" w:hAnsi="仿宋_GB2312" w:eastAsia="仿宋_GB2312" w:cs="仿宋_GB2312"/>
        </w:rPr>
        <w:t xml:space="preserve">原则上岗位实习与毕业设计（论文）指导合一，教师每指导1名学生计10学时教学工作量；每名教师指导每届毕业生岗位实习与毕业设计（论文）最高教学工作量标准为80学时。 </w:t>
      </w:r>
    </w:p>
    <w:p>
      <w:pPr>
        <w:ind w:firstLine="632"/>
      </w:pPr>
      <w:r>
        <w:rPr>
          <w:rFonts w:hint="eastAsia" w:ascii="黑体" w:hAnsi="黑体" w:eastAsia="黑体" w:cs="黑体"/>
        </w:rPr>
        <w:t xml:space="preserve">第九条 </w:t>
      </w:r>
      <w:r>
        <w:rPr>
          <w:rFonts w:hint="eastAsia"/>
        </w:rPr>
        <w:t>凡学院及二级教学单位安排的专任教师企事业单位全脱产实践，按符合最低教学工作量定额计算；非全脱产实践，原则上不折合教学工作量，确有特殊贡献、有标志性成果的，由二级教学单位提出折合方案，报学院审批后实施。</w:t>
      </w:r>
    </w:p>
    <w:p>
      <w:pPr>
        <w:ind w:firstLine="632"/>
      </w:pPr>
      <w:r>
        <w:rPr>
          <w:rFonts w:hint="eastAsia" w:ascii="黑体" w:hAnsi="黑体" w:eastAsia="黑体" w:cs="黑体"/>
        </w:rPr>
        <w:t>第十条</w:t>
      </w:r>
      <w:bookmarkStart w:id="8" w:name="_Hlk102940310"/>
      <w:r>
        <w:rPr>
          <w:rFonts w:hint="eastAsia"/>
        </w:rPr>
        <w:t xml:space="preserve"> 本办法为原则规定，各二级教学单位可以参照制定细则，报学院审议通过后实施。</w:t>
      </w:r>
    </w:p>
    <w:bookmarkEnd w:id="8"/>
    <w:p>
      <w:pPr>
        <w:ind w:firstLine="632"/>
        <w:rPr>
          <w:rFonts w:ascii="仿宋" w:hAnsi="仿宋" w:eastAsia="仿宋"/>
          <w:color w:val="000000" w:themeColor="text1"/>
          <w:szCs w:val="32"/>
          <w14:textFill>
            <w14:solidFill>
              <w14:schemeClr w14:val="tx1"/>
            </w14:solidFill>
          </w14:textFill>
        </w:rPr>
      </w:pPr>
    </w:p>
    <w:p>
      <w:pPr>
        <w:ind w:firstLine="632"/>
        <w:jc w:val="left"/>
        <w:rPr>
          <w:rFonts w:ascii="仿宋_GB2312" w:hAnsi="华文中宋"/>
          <w:color w:val="000000" w:themeColor="text1"/>
          <w:szCs w:val="32"/>
          <w14:textFill>
            <w14:solidFill>
              <w14:schemeClr w14:val="tx1"/>
            </w14:solidFill>
          </w14:textFill>
        </w:rPr>
        <w:sectPr>
          <w:headerReference r:id="rId5" w:type="default"/>
          <w:footerReference r:id="rId7" w:type="default"/>
          <w:headerReference r:id="rId6" w:type="even"/>
          <w:footerReference r:id="rId8" w:type="even"/>
          <w:pgSz w:w="11906" w:h="16838"/>
          <w:pgMar w:top="2098" w:right="1474" w:bottom="1984" w:left="1587" w:header="851" w:footer="992" w:gutter="0"/>
          <w:pgNumType w:fmt="decimal" w:start="1"/>
          <w:cols w:space="0" w:num="1"/>
          <w:docGrid w:type="linesAndChars" w:linePitch="579" w:charSpace="-842"/>
        </w:sectPr>
      </w:pPr>
    </w:p>
    <w:p>
      <w:pPr>
        <w:ind w:firstLine="0" w:firstLineChars="0"/>
        <w:jc w:val="left"/>
        <w:rPr>
          <w:rFonts w:ascii="仿宋_GB2312" w:hAnsi="华文中宋"/>
          <w:color w:val="000000" w:themeColor="text1"/>
          <w:szCs w:val="3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附件2</w:t>
      </w:r>
    </w:p>
    <w:p>
      <w:pPr>
        <w:pStyle w:val="20"/>
        <w:pageBreakBefore w:val="0"/>
        <w:widowControl w:val="0"/>
        <w:spacing w:before="312" w:after="312"/>
        <w:rPr>
          <w:rFonts w:ascii="仿宋_GB2312" w:hAnsi="仿宋" w:eastAsia="仿宋_GB2312"/>
          <w:b/>
          <w:color w:val="000000" w:themeColor="text1"/>
          <w:sz w:val="32"/>
          <w:szCs w:val="32"/>
          <w14:textFill>
            <w14:solidFill>
              <w14:schemeClr w14:val="tx1"/>
            </w14:solidFill>
          </w14:textFill>
        </w:rPr>
      </w:pPr>
      <w:r>
        <w:rPr>
          <w:rFonts w:hint="eastAsia"/>
        </w:rPr>
        <w:t>北京青年</w:t>
      </w:r>
      <w:r>
        <w:t>政治</w:t>
      </w:r>
      <w:r>
        <w:rPr>
          <w:rFonts w:hint="eastAsia"/>
        </w:rPr>
        <w:t>学院</w:t>
      </w:r>
      <w:r>
        <w:rPr>
          <w:rFonts w:hint="eastAsia"/>
        </w:rPr>
        <w:br w:type="textWrapping"/>
      </w:r>
      <w:r>
        <w:rPr>
          <w:rFonts w:hint="eastAsia"/>
        </w:rPr>
        <w:t>教师教学建设工作量计算办法</w:t>
      </w:r>
    </w:p>
    <w:p>
      <w:pPr>
        <w:ind w:firstLine="640"/>
      </w:pPr>
      <w:r>
        <w:rPr>
          <w:rFonts w:hint="eastAsia" w:ascii="黑体" w:hAnsi="黑体" w:eastAsia="黑体" w:cs="黑体"/>
        </w:rPr>
        <w:t>第一条</w:t>
      </w:r>
      <w:r>
        <w:rPr>
          <w:rFonts w:hint="eastAsia"/>
        </w:rPr>
        <w:t xml:space="preserve"> 为充分调动广大教师从事教学建设工作的积极性和主动性，促进师资队伍建设，提高教学建设质量，提升学院人才培养质量，特制定本办法。</w:t>
      </w:r>
    </w:p>
    <w:p>
      <w:pPr>
        <w:ind w:firstLine="640"/>
      </w:pPr>
      <w:r>
        <w:rPr>
          <w:rFonts w:hint="eastAsia" w:ascii="黑体" w:hAnsi="黑体" w:eastAsia="黑体" w:cs="黑体"/>
        </w:rPr>
        <w:t>第二条</w:t>
      </w:r>
      <w:r>
        <w:rPr>
          <w:rFonts w:hint="eastAsia"/>
        </w:rPr>
        <w:t xml:space="preserve"> 本办法所指教师教学建设工作量是指教师参与专业建设、教学改革与创新项目、课程与教材建设、教师队伍建设、校企合作等方面基本教学建设工作的工作量。</w:t>
      </w:r>
    </w:p>
    <w:p>
      <w:pPr>
        <w:ind w:firstLine="640"/>
      </w:pPr>
      <w:r>
        <w:rPr>
          <w:rFonts w:hint="eastAsia" w:ascii="黑体" w:hAnsi="黑体" w:eastAsia="黑体" w:cs="黑体"/>
        </w:rPr>
        <w:t>第三条</w:t>
      </w:r>
      <w:r>
        <w:rPr>
          <w:rFonts w:hint="eastAsia"/>
        </w:rPr>
        <w:t xml:space="preserve"> 本办法考核的对象为学院二级学院（中心）教师。</w:t>
      </w:r>
    </w:p>
    <w:p>
      <w:pPr>
        <w:ind w:firstLine="640"/>
      </w:pPr>
      <w:r>
        <w:rPr>
          <w:rFonts w:hint="eastAsia" w:ascii="黑体" w:hAnsi="黑体" w:eastAsia="黑体" w:cs="黑体"/>
        </w:rPr>
        <w:t>第四条</w:t>
      </w:r>
      <w:r>
        <w:rPr>
          <w:rFonts w:hint="eastAsia"/>
        </w:rPr>
        <w:t xml:space="preserve"> 教师教学建设工作量定额。</w:t>
      </w:r>
    </w:p>
    <w:p>
      <w:pPr>
        <w:ind w:firstLine="640"/>
        <w:rPr>
          <w:rFonts w:hint="eastAsia" w:ascii="仿宋_GB2312" w:hAnsi="仿宋_GB2312" w:eastAsia="仿宋_GB2312" w:cs="仿宋_GB2312"/>
        </w:rPr>
      </w:pPr>
      <w:r>
        <w:rPr>
          <w:rFonts w:hint="eastAsia" w:ascii="仿宋_GB2312" w:hAnsi="仿宋_GB2312" w:eastAsia="仿宋_GB2312" w:cs="仿宋_GB2312"/>
        </w:rPr>
        <w:t>依据教师岗位级别及类型确定教师教学建设工作量定额标准，以教学型教师讲师岗位60分教学建设工作量为基数，教学型教师副教授、教授岗位教学工作量分别较下一级递增60分、80分；科研服务型教师教学建设量为同级教学型教师1.2倍（标准见下表）。</w:t>
      </w:r>
    </w:p>
    <w:p>
      <w:pPr>
        <w:ind w:firstLine="640"/>
      </w:pPr>
      <w:r>
        <w:rPr>
          <w:rFonts w:hint="eastAsia" w:ascii="仿宋_GB2312" w:hAnsi="仿宋_GB2312" w:eastAsia="仿宋_GB2312" w:cs="仿宋_GB2312"/>
        </w:rPr>
        <w:br w:type="page"/>
      </w:r>
    </w:p>
    <w:p>
      <w:pPr>
        <w:spacing w:line="600" w:lineRule="exact"/>
        <w:ind w:firstLine="0" w:firstLineChars="0"/>
        <w:jc w:val="center"/>
        <w:rPr>
          <w:rFonts w:ascii="仿宋_GB2312" w:hAnsi="仿宋"/>
          <w:color w:val="000000" w:themeColor="text1"/>
          <w:szCs w:val="32"/>
          <w14:textFill>
            <w14:solidFill>
              <w14:schemeClr w14:val="tx1"/>
            </w14:solidFill>
          </w14:textFill>
        </w:rPr>
      </w:pPr>
      <w:r>
        <w:rPr>
          <w:rFonts w:hint="eastAsia" w:ascii="仿宋_GB2312" w:hAnsi="仿宋"/>
          <w:color w:val="000000" w:themeColor="text1"/>
          <w:szCs w:val="32"/>
          <w14:textFill>
            <w14:solidFill>
              <w14:schemeClr w14:val="tx1"/>
            </w14:solidFill>
          </w14:textFill>
        </w:rPr>
        <w:t>教师教学建设工作量定额标准</w:t>
      </w:r>
    </w:p>
    <w:tbl>
      <w:tblPr>
        <w:tblStyle w:val="15"/>
        <w:tblW w:w="4887" w:type="pct"/>
        <w:tblInd w:w="108" w:type="dxa"/>
        <w:tblLayout w:type="fixed"/>
        <w:tblCellMar>
          <w:top w:w="0" w:type="dxa"/>
          <w:left w:w="108" w:type="dxa"/>
          <w:bottom w:w="0" w:type="dxa"/>
          <w:right w:w="108" w:type="dxa"/>
        </w:tblCellMar>
      </w:tblPr>
      <w:tblGrid>
        <w:gridCol w:w="1661"/>
        <w:gridCol w:w="2862"/>
        <w:gridCol w:w="3248"/>
        <w:gridCol w:w="1084"/>
      </w:tblGrid>
      <w:tr>
        <w:tblPrEx>
          <w:tblCellMar>
            <w:top w:w="0" w:type="dxa"/>
            <w:left w:w="108" w:type="dxa"/>
            <w:bottom w:w="0" w:type="dxa"/>
            <w:right w:w="108" w:type="dxa"/>
          </w:tblCellMar>
        </w:tblPrEx>
        <w:trPr>
          <w:trHeight w:val="740" w:hRule="atLeast"/>
          <w:tblHeader/>
        </w:trPr>
        <w:tc>
          <w:tcPr>
            <w:tcW w:w="2554" w:type="pct"/>
            <w:gridSpan w:val="2"/>
            <w:tcBorders>
              <w:top w:val="single" w:color="auto" w:sz="4" w:space="0"/>
              <w:left w:val="single" w:color="auto" w:sz="4" w:space="0"/>
              <w:bottom w:val="single" w:color="auto" w:sz="4" w:space="0"/>
              <w:right w:val="single" w:color="auto" w:sz="4" w:space="0"/>
              <w:tl2br w:val="single" w:color="auto" w:sz="4" w:space="0"/>
            </w:tcBorders>
            <w:vAlign w:val="center"/>
          </w:tcPr>
          <w:p>
            <w:pPr>
              <w:widowControl/>
              <w:spacing w:line="400" w:lineRule="exact"/>
              <w:ind w:firstLine="0" w:firstLineChars="0"/>
              <w:rPr>
                <w:rFonts w:ascii="仿宋" w:hAnsi="仿宋" w:eastAsia="仿宋"/>
                <w:b/>
                <w:bCs/>
                <w:color w:val="000000" w:themeColor="text1"/>
                <w:kern w:val="0"/>
                <w:sz w:val="24"/>
                <w14:textFill>
                  <w14:solidFill>
                    <w14:schemeClr w14:val="tx1"/>
                  </w14:solidFill>
                </w14:textFill>
              </w:rPr>
            </w:pPr>
            <w:r>
              <w:rPr>
                <w:rFonts w:hint="eastAsia" w:ascii="仿宋" w:hAnsi="仿宋" w:eastAsia="仿宋"/>
                <w:b/>
                <w:bCs/>
                <w:color w:val="000000" w:themeColor="text1"/>
                <w:kern w:val="0"/>
                <w:sz w:val="24"/>
                <w14:textFill>
                  <w14:solidFill>
                    <w14:schemeClr w14:val="tx1"/>
                  </w14:solidFill>
                </w14:textFill>
              </w:rPr>
              <w:t xml:space="preserve">级别及类型 </w:t>
            </w:r>
            <w:r>
              <w:rPr>
                <w:rFonts w:ascii="仿宋" w:hAnsi="仿宋" w:eastAsia="仿宋"/>
                <w:b/>
                <w:bCs/>
                <w:color w:val="000000" w:themeColor="text1"/>
                <w:kern w:val="0"/>
                <w:sz w:val="24"/>
                <w14:textFill>
                  <w14:solidFill>
                    <w14:schemeClr w14:val="tx1"/>
                  </w14:solidFill>
                </w14:textFill>
              </w:rPr>
              <w:t xml:space="preserve">      </w:t>
            </w:r>
            <w:r>
              <w:rPr>
                <w:rFonts w:hint="eastAsia" w:ascii="仿宋" w:hAnsi="仿宋" w:eastAsia="仿宋"/>
                <w:b/>
                <w:bCs/>
                <w:color w:val="000000" w:themeColor="text1"/>
                <w:kern w:val="0"/>
                <w:sz w:val="24"/>
                <w14:textFill>
                  <w14:solidFill>
                    <w14:schemeClr w14:val="tx1"/>
                  </w14:solidFill>
                </w14:textFill>
              </w:rPr>
              <w:t xml:space="preserve">          定额标准</w:t>
            </w:r>
          </w:p>
        </w:tc>
        <w:tc>
          <w:tcPr>
            <w:tcW w:w="1834" w:type="pct"/>
            <w:tcBorders>
              <w:top w:val="single" w:color="auto" w:sz="4" w:space="0"/>
              <w:left w:val="nil"/>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b/>
                <w:bCs/>
                <w:color w:val="000000" w:themeColor="text1"/>
                <w:kern w:val="0"/>
                <w:sz w:val="24"/>
                <w14:textFill>
                  <w14:solidFill>
                    <w14:schemeClr w14:val="tx1"/>
                  </w14:solidFill>
                </w14:textFill>
              </w:rPr>
            </w:pPr>
            <w:r>
              <w:rPr>
                <w:rFonts w:hint="eastAsia" w:ascii="仿宋" w:hAnsi="仿宋" w:eastAsia="仿宋"/>
                <w:b/>
                <w:bCs/>
                <w:color w:val="000000" w:themeColor="text1"/>
                <w:kern w:val="0"/>
                <w:sz w:val="24"/>
                <w14:textFill>
                  <w14:solidFill>
                    <w14:schemeClr w14:val="tx1"/>
                  </w14:solidFill>
                </w14:textFill>
              </w:rPr>
              <w:t>教学建设工作量（分）</w:t>
            </w:r>
          </w:p>
        </w:tc>
        <w:tc>
          <w:tcPr>
            <w:tcW w:w="612" w:type="pct"/>
            <w:tcBorders>
              <w:top w:val="single" w:color="auto" w:sz="4" w:space="0"/>
              <w:left w:val="nil"/>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b/>
                <w:bCs/>
                <w:color w:val="000000" w:themeColor="text1"/>
                <w:kern w:val="0"/>
                <w:sz w:val="24"/>
                <w14:textFill>
                  <w14:solidFill>
                    <w14:schemeClr w14:val="tx1"/>
                  </w14:solidFill>
                </w14:textFill>
              </w:rPr>
            </w:pPr>
            <w:r>
              <w:rPr>
                <w:rFonts w:hint="eastAsia" w:ascii="仿宋" w:hAnsi="仿宋" w:eastAsia="仿宋"/>
                <w:b/>
                <w:bCs/>
                <w:color w:val="000000" w:themeColor="text1"/>
                <w:kern w:val="0"/>
                <w:sz w:val="24"/>
                <w14:textFill>
                  <w14:solidFill>
                    <w14:schemeClr w14:val="tx1"/>
                  </w14:solidFill>
                </w14:textFill>
              </w:rPr>
              <w:t>备注</w:t>
            </w:r>
          </w:p>
        </w:tc>
      </w:tr>
      <w:tr>
        <w:tblPrEx>
          <w:tblCellMar>
            <w:top w:w="0" w:type="dxa"/>
            <w:left w:w="108" w:type="dxa"/>
            <w:bottom w:w="0" w:type="dxa"/>
            <w:right w:w="108" w:type="dxa"/>
          </w:tblCellMar>
        </w:tblPrEx>
        <w:trPr>
          <w:trHeight w:val="256"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教授岗位</w:t>
            </w:r>
          </w:p>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合格分值</w:t>
            </w:r>
          </w:p>
        </w:tc>
        <w:tc>
          <w:tcPr>
            <w:tcW w:w="161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教学</w:t>
            </w:r>
            <w:r>
              <w:rPr>
                <w:rFonts w:ascii="仿宋" w:hAnsi="仿宋" w:eastAsia="仿宋"/>
                <w:color w:val="000000" w:themeColor="text1"/>
                <w:kern w:val="0"/>
                <w:sz w:val="24"/>
                <w14:textFill>
                  <w14:solidFill>
                    <w14:schemeClr w14:val="tx1"/>
                  </w14:solidFill>
                </w14:textFill>
              </w:rPr>
              <w:t>型</w:t>
            </w:r>
            <w:r>
              <w:rPr>
                <w:rFonts w:hint="eastAsia" w:ascii="仿宋" w:hAnsi="仿宋" w:eastAsia="仿宋"/>
                <w:color w:val="000000" w:themeColor="text1"/>
                <w:kern w:val="0"/>
                <w:sz w:val="24"/>
                <w14:textFill>
                  <w14:solidFill>
                    <w14:schemeClr w14:val="tx1"/>
                  </w14:solidFill>
                </w14:textFill>
              </w:rPr>
              <w:t>教师</w:t>
            </w:r>
          </w:p>
        </w:tc>
        <w:tc>
          <w:tcPr>
            <w:tcW w:w="1834" w:type="pct"/>
            <w:tcBorders>
              <w:top w:val="single" w:color="auto" w:sz="4" w:space="0"/>
              <w:left w:val="nil"/>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2</w:t>
            </w:r>
            <w:r>
              <w:rPr>
                <w:rFonts w:ascii="仿宋" w:hAnsi="仿宋" w:eastAsia="仿宋"/>
                <w:color w:val="000000" w:themeColor="text1"/>
                <w:kern w:val="0"/>
                <w:sz w:val="24"/>
                <w14:textFill>
                  <w14:solidFill>
                    <w14:schemeClr w14:val="tx1"/>
                  </w14:solidFill>
                </w14:textFill>
              </w:rPr>
              <w:t>00</w:t>
            </w:r>
          </w:p>
        </w:tc>
        <w:tc>
          <w:tcPr>
            <w:tcW w:w="612" w:type="pct"/>
            <w:vMerge w:val="restart"/>
            <w:tcBorders>
              <w:top w:val="single" w:color="auto" w:sz="4" w:space="0"/>
              <w:left w:val="nil"/>
              <w:bottom w:val="single" w:color="auto" w:sz="4" w:space="0"/>
              <w:right w:val="single" w:color="auto" w:sz="4" w:space="0"/>
            </w:tcBorders>
          </w:tcPr>
          <w:p>
            <w:pPr>
              <w:pStyle w:val="6"/>
              <w:snapToGrid w:val="0"/>
              <w:spacing w:line="400" w:lineRule="exact"/>
              <w:ind w:left="640" w:firstLine="480"/>
              <w:rPr>
                <w:rFonts w:ascii="仿宋" w:hAnsi="仿宋" w:eastAsia="仿宋"/>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30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p>
        </w:tc>
        <w:tc>
          <w:tcPr>
            <w:tcW w:w="161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科研服务型教师</w:t>
            </w:r>
          </w:p>
        </w:tc>
        <w:tc>
          <w:tcPr>
            <w:tcW w:w="1834" w:type="pct"/>
            <w:tcBorders>
              <w:top w:val="single" w:color="auto" w:sz="4" w:space="0"/>
              <w:left w:val="nil"/>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2</w:t>
            </w:r>
            <w:r>
              <w:rPr>
                <w:rFonts w:ascii="仿宋" w:hAnsi="仿宋" w:eastAsia="仿宋"/>
                <w:color w:val="000000" w:themeColor="text1"/>
                <w:kern w:val="0"/>
                <w:sz w:val="24"/>
                <w14:textFill>
                  <w14:solidFill>
                    <w14:schemeClr w14:val="tx1"/>
                  </w14:solidFill>
                </w14:textFill>
              </w:rPr>
              <w:t>40</w:t>
            </w:r>
          </w:p>
        </w:tc>
        <w:tc>
          <w:tcPr>
            <w:tcW w:w="612" w:type="pct"/>
            <w:vMerge w:val="continue"/>
            <w:tcBorders>
              <w:top w:val="single" w:color="auto" w:sz="4" w:space="0"/>
              <w:left w:val="nil"/>
              <w:bottom w:val="single" w:color="auto" w:sz="4" w:space="0"/>
              <w:right w:val="single" w:color="auto" w:sz="4" w:space="0"/>
            </w:tcBorders>
            <w:vAlign w:val="center"/>
          </w:tcPr>
          <w:p>
            <w:pPr>
              <w:widowControl/>
              <w:spacing w:line="400" w:lineRule="exact"/>
              <w:ind w:firstLine="480"/>
              <w:jc w:val="center"/>
              <w:rPr>
                <w:rFonts w:ascii="仿宋" w:hAnsi="仿宋" w:eastAsia="仿宋"/>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25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副教授岗位合格分值</w:t>
            </w:r>
          </w:p>
        </w:tc>
        <w:tc>
          <w:tcPr>
            <w:tcW w:w="161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教学</w:t>
            </w:r>
            <w:r>
              <w:rPr>
                <w:rFonts w:ascii="仿宋" w:hAnsi="仿宋" w:eastAsia="仿宋"/>
                <w:color w:val="000000" w:themeColor="text1"/>
                <w:kern w:val="0"/>
                <w:sz w:val="24"/>
                <w14:textFill>
                  <w14:solidFill>
                    <w14:schemeClr w14:val="tx1"/>
                  </w14:solidFill>
                </w14:textFill>
              </w:rPr>
              <w:t>型</w:t>
            </w:r>
            <w:r>
              <w:rPr>
                <w:rFonts w:hint="eastAsia" w:ascii="仿宋" w:hAnsi="仿宋" w:eastAsia="仿宋"/>
                <w:color w:val="000000" w:themeColor="text1"/>
                <w:kern w:val="0"/>
                <w:sz w:val="24"/>
                <w14:textFill>
                  <w14:solidFill>
                    <w14:schemeClr w14:val="tx1"/>
                  </w14:solidFill>
                </w14:textFill>
              </w:rPr>
              <w:t>教师</w:t>
            </w:r>
          </w:p>
        </w:tc>
        <w:tc>
          <w:tcPr>
            <w:tcW w:w="1834" w:type="pct"/>
            <w:tcBorders>
              <w:top w:val="single" w:color="auto" w:sz="4" w:space="0"/>
              <w:left w:val="nil"/>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1</w:t>
            </w:r>
            <w:r>
              <w:rPr>
                <w:rFonts w:ascii="仿宋" w:hAnsi="仿宋" w:eastAsia="仿宋"/>
                <w:color w:val="000000" w:themeColor="text1"/>
                <w:kern w:val="0"/>
                <w:sz w:val="24"/>
                <w14:textFill>
                  <w14:solidFill>
                    <w14:schemeClr w14:val="tx1"/>
                  </w14:solidFill>
                </w14:textFill>
              </w:rPr>
              <w:t>20</w:t>
            </w:r>
          </w:p>
        </w:tc>
        <w:tc>
          <w:tcPr>
            <w:tcW w:w="612" w:type="pct"/>
            <w:vMerge w:val="continue"/>
            <w:tcBorders>
              <w:top w:val="single" w:color="auto" w:sz="4" w:space="0"/>
              <w:left w:val="nil"/>
              <w:bottom w:val="single" w:color="auto" w:sz="4" w:space="0"/>
              <w:right w:val="single" w:color="auto" w:sz="4" w:space="0"/>
            </w:tcBorders>
            <w:vAlign w:val="center"/>
          </w:tcPr>
          <w:p>
            <w:pPr>
              <w:widowControl/>
              <w:spacing w:line="400" w:lineRule="exact"/>
              <w:ind w:firstLine="480"/>
              <w:jc w:val="center"/>
              <w:rPr>
                <w:rFonts w:ascii="仿宋" w:hAnsi="仿宋" w:eastAsia="仿宋"/>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16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p>
        </w:tc>
        <w:tc>
          <w:tcPr>
            <w:tcW w:w="161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科研服务型教师</w:t>
            </w:r>
          </w:p>
        </w:tc>
        <w:tc>
          <w:tcPr>
            <w:tcW w:w="1834" w:type="pct"/>
            <w:tcBorders>
              <w:top w:val="single" w:color="auto" w:sz="4" w:space="0"/>
              <w:left w:val="nil"/>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1</w:t>
            </w:r>
            <w:r>
              <w:rPr>
                <w:rFonts w:ascii="仿宋" w:hAnsi="仿宋" w:eastAsia="仿宋"/>
                <w:color w:val="000000" w:themeColor="text1"/>
                <w:kern w:val="0"/>
                <w:sz w:val="24"/>
                <w14:textFill>
                  <w14:solidFill>
                    <w14:schemeClr w14:val="tx1"/>
                  </w14:solidFill>
                </w14:textFill>
              </w:rPr>
              <w:t>44</w:t>
            </w:r>
          </w:p>
        </w:tc>
        <w:tc>
          <w:tcPr>
            <w:tcW w:w="612" w:type="pct"/>
            <w:vMerge w:val="continue"/>
            <w:tcBorders>
              <w:top w:val="single" w:color="auto" w:sz="4" w:space="0"/>
              <w:left w:val="nil"/>
              <w:bottom w:val="single" w:color="auto" w:sz="4" w:space="0"/>
              <w:right w:val="single" w:color="auto" w:sz="4" w:space="0"/>
            </w:tcBorders>
            <w:vAlign w:val="center"/>
          </w:tcPr>
          <w:p>
            <w:pPr>
              <w:widowControl/>
              <w:spacing w:line="400" w:lineRule="exact"/>
              <w:ind w:firstLine="480"/>
              <w:jc w:val="center"/>
              <w:rPr>
                <w:rFonts w:ascii="仿宋" w:hAnsi="仿宋" w:eastAsia="仿宋"/>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742" w:hRule="atLeast"/>
        </w:trPr>
        <w:tc>
          <w:tcPr>
            <w:tcW w:w="938" w:type="pct"/>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讲师岗位</w:t>
            </w:r>
          </w:p>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合格分值</w:t>
            </w:r>
          </w:p>
        </w:tc>
        <w:tc>
          <w:tcPr>
            <w:tcW w:w="161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教学</w:t>
            </w:r>
            <w:r>
              <w:rPr>
                <w:rFonts w:ascii="仿宋" w:hAnsi="仿宋" w:eastAsia="仿宋"/>
                <w:color w:val="000000" w:themeColor="text1"/>
                <w:kern w:val="0"/>
                <w:sz w:val="24"/>
                <w14:textFill>
                  <w14:solidFill>
                    <w14:schemeClr w14:val="tx1"/>
                  </w14:solidFill>
                </w14:textFill>
              </w:rPr>
              <w:t>型</w:t>
            </w:r>
            <w:r>
              <w:rPr>
                <w:rFonts w:hint="eastAsia" w:ascii="仿宋" w:hAnsi="仿宋" w:eastAsia="仿宋"/>
                <w:color w:val="000000" w:themeColor="text1"/>
                <w:kern w:val="0"/>
                <w:sz w:val="24"/>
                <w14:textFill>
                  <w14:solidFill>
                    <w14:schemeClr w14:val="tx1"/>
                  </w14:solidFill>
                </w14:textFill>
              </w:rPr>
              <w:t>教师</w:t>
            </w:r>
          </w:p>
        </w:tc>
        <w:tc>
          <w:tcPr>
            <w:tcW w:w="1834" w:type="pct"/>
            <w:tcBorders>
              <w:top w:val="single" w:color="auto" w:sz="4" w:space="0"/>
              <w:left w:val="nil"/>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ascii="仿宋" w:hAnsi="仿宋" w:eastAsia="仿宋"/>
                <w:color w:val="000000" w:themeColor="text1"/>
                <w:kern w:val="0"/>
                <w:sz w:val="24"/>
                <w14:textFill>
                  <w14:solidFill>
                    <w14:schemeClr w14:val="tx1"/>
                  </w14:solidFill>
                </w14:textFill>
              </w:rPr>
              <w:t>60</w:t>
            </w:r>
          </w:p>
        </w:tc>
        <w:tc>
          <w:tcPr>
            <w:tcW w:w="612" w:type="pct"/>
            <w:vMerge w:val="continue"/>
            <w:tcBorders>
              <w:top w:val="single" w:color="auto" w:sz="4" w:space="0"/>
              <w:left w:val="nil"/>
              <w:bottom w:val="single" w:color="auto" w:sz="4" w:space="0"/>
              <w:right w:val="single" w:color="auto" w:sz="4" w:space="0"/>
            </w:tcBorders>
            <w:vAlign w:val="center"/>
          </w:tcPr>
          <w:p>
            <w:pPr>
              <w:widowControl/>
              <w:spacing w:line="400" w:lineRule="exact"/>
              <w:ind w:firstLine="480"/>
              <w:jc w:val="center"/>
              <w:rPr>
                <w:rFonts w:ascii="仿宋" w:hAnsi="仿宋" w:eastAsia="仿宋"/>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307" w:hRule="atLeast"/>
        </w:trPr>
        <w:tc>
          <w:tcPr>
            <w:tcW w:w="938" w:type="pct"/>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助教岗位</w:t>
            </w:r>
          </w:p>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合格分值</w:t>
            </w:r>
          </w:p>
        </w:tc>
        <w:tc>
          <w:tcPr>
            <w:tcW w:w="161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hint="eastAsia" w:ascii="仿宋" w:hAnsi="仿宋" w:eastAsia="仿宋"/>
                <w:color w:val="000000" w:themeColor="text1"/>
                <w:kern w:val="0"/>
                <w:sz w:val="24"/>
                <w14:textFill>
                  <w14:solidFill>
                    <w14:schemeClr w14:val="tx1"/>
                  </w14:solidFill>
                </w14:textFill>
              </w:rPr>
              <w:t>教学</w:t>
            </w:r>
            <w:r>
              <w:rPr>
                <w:rFonts w:ascii="仿宋" w:hAnsi="仿宋" w:eastAsia="仿宋"/>
                <w:color w:val="000000" w:themeColor="text1"/>
                <w:kern w:val="0"/>
                <w:sz w:val="24"/>
                <w14:textFill>
                  <w14:solidFill>
                    <w14:schemeClr w14:val="tx1"/>
                  </w14:solidFill>
                </w14:textFill>
              </w:rPr>
              <w:t>型</w:t>
            </w:r>
            <w:r>
              <w:rPr>
                <w:rFonts w:hint="eastAsia" w:ascii="仿宋" w:hAnsi="仿宋" w:eastAsia="仿宋"/>
                <w:color w:val="000000" w:themeColor="text1"/>
                <w:kern w:val="0"/>
                <w:sz w:val="24"/>
                <w14:textFill>
                  <w14:solidFill>
                    <w14:schemeClr w14:val="tx1"/>
                  </w14:solidFill>
                </w14:textFill>
              </w:rPr>
              <w:t>教师</w:t>
            </w:r>
          </w:p>
        </w:tc>
        <w:tc>
          <w:tcPr>
            <w:tcW w:w="1834" w:type="pct"/>
            <w:tcBorders>
              <w:top w:val="single" w:color="auto" w:sz="4" w:space="0"/>
              <w:left w:val="nil"/>
              <w:bottom w:val="single" w:color="auto" w:sz="4" w:space="0"/>
              <w:right w:val="single" w:color="auto" w:sz="4" w:space="0"/>
            </w:tcBorders>
            <w:vAlign w:val="center"/>
          </w:tcPr>
          <w:p>
            <w:pPr>
              <w:widowControl/>
              <w:spacing w:line="400" w:lineRule="exact"/>
              <w:ind w:firstLine="0" w:firstLineChars="0"/>
              <w:jc w:val="center"/>
              <w:rPr>
                <w:rFonts w:ascii="仿宋" w:hAnsi="仿宋" w:eastAsia="仿宋"/>
                <w:color w:val="000000" w:themeColor="text1"/>
                <w:kern w:val="0"/>
                <w:sz w:val="24"/>
                <w14:textFill>
                  <w14:solidFill>
                    <w14:schemeClr w14:val="tx1"/>
                  </w14:solidFill>
                </w14:textFill>
              </w:rPr>
            </w:pPr>
            <w:r>
              <w:rPr>
                <w:rFonts w:ascii="仿宋" w:hAnsi="仿宋" w:eastAsia="仿宋"/>
                <w:color w:val="000000" w:themeColor="text1"/>
                <w:kern w:val="0"/>
                <w:sz w:val="24"/>
                <w14:textFill>
                  <w14:solidFill>
                    <w14:schemeClr w14:val="tx1"/>
                  </w14:solidFill>
                </w14:textFill>
              </w:rPr>
              <w:t>——</w:t>
            </w:r>
          </w:p>
        </w:tc>
        <w:tc>
          <w:tcPr>
            <w:tcW w:w="612" w:type="pct"/>
            <w:vMerge w:val="continue"/>
            <w:tcBorders>
              <w:top w:val="single" w:color="auto" w:sz="4" w:space="0"/>
              <w:left w:val="nil"/>
              <w:bottom w:val="single" w:color="auto" w:sz="4" w:space="0"/>
              <w:right w:val="single" w:color="auto" w:sz="4" w:space="0"/>
            </w:tcBorders>
            <w:vAlign w:val="center"/>
          </w:tcPr>
          <w:p>
            <w:pPr>
              <w:widowControl/>
              <w:spacing w:line="400" w:lineRule="exact"/>
              <w:ind w:firstLine="480"/>
              <w:jc w:val="center"/>
              <w:rPr>
                <w:rFonts w:ascii="仿宋" w:hAnsi="仿宋" w:eastAsia="仿宋"/>
                <w:color w:val="000000" w:themeColor="text1"/>
                <w:kern w:val="0"/>
                <w:sz w:val="24"/>
                <w14:textFill>
                  <w14:solidFill>
                    <w14:schemeClr w14:val="tx1"/>
                  </w14:solidFill>
                </w14:textFill>
              </w:rPr>
            </w:pPr>
          </w:p>
        </w:tc>
      </w:tr>
    </w:tbl>
    <w:p>
      <w:pPr>
        <w:ind w:firstLine="640"/>
      </w:pPr>
      <w:r>
        <w:rPr>
          <w:rFonts w:hint="eastAsia" w:ascii="黑体" w:hAnsi="黑体" w:eastAsia="黑体" w:cs="黑体"/>
        </w:rPr>
        <w:t>第五条</w:t>
      </w:r>
      <w:r>
        <w:rPr>
          <w:rFonts w:hint="eastAsia"/>
        </w:rPr>
        <w:t xml:space="preserve"> 教师教学建设工作量采用量化积分制，计分类别及标准如下：</w:t>
      </w:r>
    </w:p>
    <w:p>
      <w:pPr>
        <w:ind w:firstLine="643"/>
        <w:rPr>
          <w:rFonts w:hint="eastAsia" w:ascii="楷体_GB2312" w:hAnsi="楷体_GB2312" w:eastAsia="楷体_GB2312" w:cs="楷体_GB2312"/>
          <w:b w:val="0"/>
          <w:bCs w:val="0"/>
        </w:rPr>
      </w:pPr>
      <w:r>
        <w:rPr>
          <w:rFonts w:hint="eastAsia" w:ascii="楷体_GB2312" w:hAnsi="楷体_GB2312" w:eastAsia="楷体_GB2312" w:cs="楷体_GB2312"/>
          <w:b w:val="0"/>
          <w:bCs w:val="0"/>
        </w:rPr>
        <w:t>（一）专业建设类</w:t>
      </w:r>
    </w:p>
    <w:p>
      <w:pPr>
        <w:ind w:firstLine="640"/>
        <w:rPr>
          <w:rFonts w:hint="eastAsia" w:ascii="仿宋_GB2312" w:hAnsi="仿宋_GB2312" w:eastAsia="仿宋_GB2312" w:cs="仿宋_GB2312"/>
        </w:rPr>
      </w:pPr>
      <w:r>
        <w:rPr>
          <w:rFonts w:hint="eastAsia" w:ascii="仿宋_GB2312" w:hAnsi="仿宋_GB2312" w:eastAsia="仿宋_GB2312" w:cs="仿宋_GB2312"/>
        </w:rPr>
        <w:t>1.新专业开发。经过专业调研，形成新专业设置论证报告和人才培养方案，并成功申报新专业，计180分。</w:t>
      </w:r>
    </w:p>
    <w:p>
      <w:pPr>
        <w:ind w:firstLine="640"/>
        <w:rPr>
          <w:rFonts w:hint="eastAsia" w:ascii="仿宋_GB2312" w:hAnsi="仿宋_GB2312" w:eastAsia="仿宋_GB2312" w:cs="仿宋_GB2312"/>
        </w:rPr>
      </w:pPr>
      <w:r>
        <w:rPr>
          <w:rFonts w:hint="eastAsia" w:ascii="仿宋_GB2312" w:hAnsi="仿宋_GB2312" w:eastAsia="仿宋_GB2312" w:cs="仿宋_GB2312"/>
        </w:rPr>
        <w:t>2.优化原有专业。经过专业调研，形成专业调研报告，召开论证研讨会，修订人才培养方案，计50分。</w:t>
      </w:r>
    </w:p>
    <w:p>
      <w:pPr>
        <w:ind w:firstLine="640"/>
        <w:rPr>
          <w:rFonts w:hint="eastAsia" w:ascii="仿宋_GB2312" w:hAnsi="仿宋_GB2312" w:eastAsia="仿宋_GB2312" w:cs="仿宋_GB2312"/>
        </w:rPr>
      </w:pPr>
      <w:r>
        <w:rPr>
          <w:rFonts w:hint="eastAsia" w:ascii="仿宋_GB2312" w:hAnsi="仿宋_GB2312" w:eastAsia="仿宋_GB2312" w:cs="仿宋_GB2312"/>
        </w:rPr>
        <w:t>3.重点、骨干及特色专业建设。通过院级、省级、国家级重点、骨干及特色专业建设（包括专业教学资源库、重点马院建设）申报立项，并按照工作计划通过结项验收，每个专业分别计算300分、600分、900分。</w:t>
      </w:r>
    </w:p>
    <w:p>
      <w:pPr>
        <w:ind w:firstLine="640"/>
        <w:rPr>
          <w:rFonts w:hint="eastAsia" w:ascii="仿宋_GB2312" w:hAnsi="仿宋_GB2312" w:eastAsia="仿宋_GB2312" w:cs="仿宋_GB2312"/>
        </w:rPr>
      </w:pPr>
      <w:r>
        <w:rPr>
          <w:rFonts w:hint="eastAsia" w:ascii="仿宋_GB2312" w:hAnsi="仿宋_GB2312" w:eastAsia="仿宋_GB2312" w:cs="仿宋_GB2312"/>
        </w:rPr>
        <w:t>4.教学专项建设。根据人才培养工作需要，包括课程建设、教学资源库建设、实训基地（思政实践基地</w:t>
      </w:r>
      <w:r>
        <w:rPr>
          <w:rFonts w:hint="eastAsia"/>
        </w:rPr>
        <w:t>）建设等教学专项项目，获得立项，并按照工作计划通过结项验收，每个项目按院级、</w:t>
      </w:r>
      <w:r>
        <w:rPr>
          <w:rFonts w:hint="eastAsia" w:ascii="仿宋_GB2312" w:hAnsi="仿宋_GB2312" w:eastAsia="仿宋_GB2312" w:cs="仿宋_GB2312"/>
        </w:rPr>
        <w:t>省级分类发展项目及国家级中央财政项目分别计80分、150分、200分。</w:t>
      </w:r>
    </w:p>
    <w:p>
      <w:pPr>
        <w:ind w:firstLine="640"/>
        <w:rPr>
          <w:rFonts w:hint="eastAsia" w:ascii="仿宋_GB2312" w:hAnsi="仿宋_GB2312" w:eastAsia="仿宋_GB2312" w:cs="仿宋_GB2312"/>
        </w:rPr>
      </w:pPr>
      <w:r>
        <w:rPr>
          <w:rFonts w:hint="eastAsia" w:ascii="仿宋_GB2312" w:hAnsi="仿宋_GB2312" w:eastAsia="仿宋_GB2312" w:cs="仿宋_GB2312"/>
        </w:rPr>
        <w:t>5.教学成果奖。教师申报各级教学成果奖，获得院级、省级及国家级奖励分别计100分、300分、500分。</w:t>
      </w:r>
    </w:p>
    <w:p>
      <w:pPr>
        <w:ind w:firstLine="643"/>
        <w:rPr>
          <w:rFonts w:hint="eastAsia" w:ascii="楷体_GB2312" w:hAnsi="楷体_GB2312" w:eastAsia="楷体_GB2312" w:cs="楷体_GB2312"/>
          <w:b w:val="0"/>
          <w:bCs w:val="0"/>
        </w:rPr>
      </w:pPr>
      <w:r>
        <w:rPr>
          <w:rFonts w:hint="eastAsia" w:ascii="楷体_GB2312" w:hAnsi="楷体_GB2312" w:eastAsia="楷体_GB2312" w:cs="楷体_GB2312"/>
          <w:b w:val="0"/>
          <w:bCs w:val="0"/>
        </w:rPr>
        <w:t>（二）教学改革与创新项目类</w:t>
      </w:r>
    </w:p>
    <w:p>
      <w:pPr>
        <w:ind w:firstLine="640"/>
        <w:rPr>
          <w:rFonts w:hint="eastAsia" w:ascii="仿宋_GB2312" w:hAnsi="仿宋_GB2312" w:eastAsia="仿宋_GB2312" w:cs="仿宋_GB2312"/>
        </w:rPr>
      </w:pPr>
      <w:r>
        <w:rPr>
          <w:rFonts w:hint="eastAsia" w:ascii="仿宋_GB2312" w:hAnsi="仿宋_GB2312" w:eastAsia="仿宋_GB2312" w:cs="仿宋_GB2312"/>
        </w:rPr>
        <w:t>1.X证书试点工作。每申报一个证书试点项目，并完成当年报名、培训及组考等方面工作，每年计150分。</w:t>
      </w:r>
    </w:p>
    <w:p>
      <w:pPr>
        <w:ind w:firstLine="640"/>
        <w:rPr>
          <w:rFonts w:hint="eastAsia" w:ascii="仿宋_GB2312" w:hAnsi="仿宋_GB2312" w:eastAsia="仿宋_GB2312" w:cs="仿宋_GB2312"/>
        </w:rPr>
      </w:pPr>
      <w:r>
        <w:rPr>
          <w:rFonts w:hint="eastAsia" w:ascii="仿宋_GB2312" w:hAnsi="仿宋_GB2312" w:eastAsia="仿宋_GB2312" w:cs="仿宋_GB2312"/>
        </w:rPr>
        <w:t>2.学分银行建设。制订学分认定细则，完成当年学分认定与转换，并完成成绩登录等工作，每个专业每年计40分。</w:t>
      </w:r>
    </w:p>
    <w:p>
      <w:pPr>
        <w:ind w:firstLine="640"/>
        <w:rPr>
          <w:rFonts w:hint="eastAsia" w:ascii="仿宋_GB2312" w:hAnsi="仿宋_GB2312" w:eastAsia="仿宋_GB2312" w:cs="仿宋_GB2312"/>
        </w:rPr>
      </w:pPr>
      <w:r>
        <w:rPr>
          <w:rFonts w:hint="eastAsia" w:ascii="仿宋_GB2312" w:hAnsi="仿宋_GB2312" w:eastAsia="仿宋_GB2312" w:cs="仿宋_GB2312"/>
        </w:rPr>
        <w:t>3.教学改革项目。申报院级、省级、国家级教学改革项目获得立项，并按照工作计划通过结项验收，每个项目分别计50分、150分、300分。</w:t>
      </w:r>
    </w:p>
    <w:p>
      <w:pPr>
        <w:ind w:firstLine="643"/>
        <w:rPr>
          <w:rFonts w:hint="eastAsia" w:ascii="楷体_GB2312" w:hAnsi="楷体_GB2312" w:eastAsia="楷体_GB2312" w:cs="楷体_GB2312"/>
          <w:b w:val="0"/>
          <w:bCs w:val="0"/>
        </w:rPr>
      </w:pPr>
      <w:r>
        <w:rPr>
          <w:rFonts w:hint="eastAsia" w:ascii="楷体_GB2312" w:hAnsi="楷体_GB2312" w:eastAsia="楷体_GB2312" w:cs="楷体_GB2312"/>
          <w:b w:val="0"/>
          <w:bCs w:val="0"/>
        </w:rPr>
        <w:t>（三）课程思政建设类</w:t>
      </w:r>
    </w:p>
    <w:p>
      <w:pPr>
        <w:ind w:firstLine="640"/>
        <w:rPr>
          <w:rFonts w:hint="eastAsia"/>
        </w:rPr>
      </w:pPr>
      <w:r>
        <w:rPr>
          <w:rFonts w:hint="eastAsia"/>
        </w:rPr>
        <w:t>申报院级、省级、国家级课程思政示范课、课程思政标杆课、课程思政典型案例（或思政课示范课堂）等，成功获批并完成相关建设要求，每个项目分别</w:t>
      </w:r>
      <w:r>
        <w:rPr>
          <w:rFonts w:hint="eastAsia" w:ascii="仿宋_GB2312" w:hAnsi="仿宋_GB2312" w:eastAsia="仿宋_GB2312" w:cs="仿宋_GB2312"/>
        </w:rPr>
        <w:t>计20分、60分、100分。</w:t>
      </w:r>
    </w:p>
    <w:p>
      <w:pPr>
        <w:ind w:firstLine="643"/>
        <w:rPr>
          <w:rFonts w:hint="eastAsia" w:ascii="楷体_GB2312" w:hAnsi="楷体_GB2312" w:eastAsia="楷体_GB2312" w:cs="楷体_GB2312"/>
          <w:b w:val="0"/>
          <w:bCs w:val="0"/>
        </w:rPr>
      </w:pPr>
      <w:r>
        <w:rPr>
          <w:rFonts w:hint="eastAsia" w:ascii="楷体_GB2312" w:hAnsi="楷体_GB2312" w:eastAsia="楷体_GB2312" w:cs="楷体_GB2312"/>
          <w:b w:val="0"/>
          <w:bCs w:val="0"/>
        </w:rPr>
        <w:t>（四）课程与教材建设类</w:t>
      </w:r>
    </w:p>
    <w:p>
      <w:pPr>
        <w:ind w:firstLine="640"/>
        <w:rPr>
          <w:rFonts w:hint="eastAsia" w:ascii="仿宋_GB2312" w:hAnsi="仿宋_GB2312" w:eastAsia="仿宋_GB2312" w:cs="仿宋_GB2312"/>
        </w:rPr>
      </w:pPr>
      <w:r>
        <w:rPr>
          <w:rFonts w:hint="eastAsia" w:ascii="仿宋_GB2312" w:hAnsi="仿宋_GB2312" w:eastAsia="仿宋_GB2312" w:cs="仿宋_GB2312"/>
        </w:rPr>
        <w:t>1.课程资源（含课程标准、精品课程、在线课程等）建设。经过研究论证，并制定新的课程标准，计10分；已有课程标准经重新研究论证，修改形成新的课程标准，计5分。经过研究论证，完成新课程资源开发及开展教学任务，计20分。获批院级、省级、国家级精品课程、精品在线课程等，每门课程分别计50分、150分、300分。</w:t>
      </w:r>
    </w:p>
    <w:p>
      <w:pPr>
        <w:ind w:firstLine="640"/>
        <w:rPr>
          <w:rFonts w:hint="eastAsia" w:ascii="仿宋_GB2312" w:hAnsi="仿宋_GB2312" w:eastAsia="仿宋_GB2312" w:cs="仿宋_GB2312"/>
        </w:rPr>
      </w:pPr>
      <w:r>
        <w:rPr>
          <w:rFonts w:hint="eastAsia" w:ascii="仿宋_GB2312" w:hAnsi="仿宋_GB2312" w:eastAsia="仿宋_GB2312" w:cs="仿宋_GB2312"/>
        </w:rPr>
        <w:t>2.教材建设。编写教材并公开出版，每部计40分。获批省级、国家级规划教材分别计100分、200分。</w:t>
      </w:r>
    </w:p>
    <w:p>
      <w:pPr>
        <w:ind w:firstLine="643"/>
        <w:rPr>
          <w:rFonts w:hint="eastAsia" w:ascii="楷体_GB2312" w:hAnsi="楷体_GB2312" w:eastAsia="楷体_GB2312" w:cs="楷体_GB2312"/>
          <w:b w:val="0"/>
          <w:bCs w:val="0"/>
        </w:rPr>
      </w:pPr>
      <w:r>
        <w:rPr>
          <w:rFonts w:hint="eastAsia" w:ascii="楷体_GB2312" w:hAnsi="楷体_GB2312" w:eastAsia="楷体_GB2312" w:cs="楷体_GB2312"/>
          <w:b w:val="0"/>
          <w:bCs w:val="0"/>
        </w:rPr>
        <w:t>（五）教师队伍建设类</w:t>
      </w:r>
    </w:p>
    <w:p>
      <w:pPr>
        <w:ind w:firstLine="640"/>
        <w:rPr>
          <w:rFonts w:hint="eastAsia" w:ascii="仿宋_GB2312" w:hAnsi="仿宋_GB2312" w:eastAsia="仿宋_GB2312" w:cs="仿宋_GB2312"/>
        </w:rPr>
      </w:pPr>
      <w:r>
        <w:rPr>
          <w:rFonts w:hint="eastAsia" w:ascii="仿宋_GB2312" w:hAnsi="仿宋_GB2312" w:eastAsia="仿宋_GB2312" w:cs="仿宋_GB2312"/>
        </w:rPr>
        <w:t>1.教师教学竞赛。教师参加教学能力比赛、教学基本功比赛等赛事，获得院级、省级及国家级奖励分别计50分、150分、300分。教师组建团队参赛获奖计分时按1.5倍折合，教师参加其他类别竞赛按教育主管部门赛事三分之一分值折合。省级、国家级没有获奖的参赛队分值按相应分值的50%核算。</w:t>
      </w:r>
    </w:p>
    <w:p>
      <w:pPr>
        <w:ind w:firstLine="640"/>
        <w:rPr>
          <w:rFonts w:hint="eastAsia" w:ascii="仿宋_GB2312" w:hAnsi="仿宋_GB2312" w:eastAsia="仿宋_GB2312" w:cs="仿宋_GB2312"/>
        </w:rPr>
      </w:pPr>
      <w:r>
        <w:rPr>
          <w:rFonts w:hint="eastAsia" w:ascii="仿宋_GB2312" w:hAnsi="仿宋_GB2312" w:eastAsia="仿宋_GB2312" w:cs="仿宋_GB2312"/>
        </w:rPr>
        <w:t>2.教师荣誉。教师获得院级、省级及国家级优秀教师、教学名师、职教名师等荣誉，分别计30分、100分、200分.</w:t>
      </w:r>
    </w:p>
    <w:p>
      <w:pPr>
        <w:ind w:firstLine="640"/>
        <w:rPr>
          <w:rFonts w:hint="eastAsia"/>
        </w:rPr>
      </w:pPr>
      <w:r>
        <w:rPr>
          <w:rFonts w:hint="eastAsia" w:ascii="仿宋_GB2312" w:hAnsi="仿宋_GB2312" w:eastAsia="仿宋_GB2312" w:cs="仿宋_GB2312"/>
        </w:rPr>
        <w:t>3.教学团队。教师组建团队获批院级、省级及国家级优秀团队，并完成相关建设要求，分别计60分、200分、400分。</w:t>
      </w:r>
    </w:p>
    <w:p>
      <w:pPr>
        <w:ind w:firstLine="643"/>
        <w:rPr>
          <w:rFonts w:hint="eastAsia" w:ascii="楷体_GB2312" w:hAnsi="楷体_GB2312" w:eastAsia="楷体_GB2312" w:cs="楷体_GB2312"/>
          <w:b w:val="0"/>
          <w:bCs w:val="0"/>
        </w:rPr>
      </w:pPr>
      <w:r>
        <w:rPr>
          <w:rFonts w:hint="eastAsia" w:ascii="楷体_GB2312" w:hAnsi="楷体_GB2312" w:eastAsia="楷体_GB2312" w:cs="楷体_GB2312"/>
          <w:b w:val="0"/>
          <w:bCs w:val="0"/>
        </w:rPr>
        <w:t>（六）学生竞赛类</w:t>
      </w:r>
    </w:p>
    <w:p>
      <w:pPr>
        <w:ind w:firstLine="640"/>
        <w:rPr>
          <w:rFonts w:hint="eastAsia" w:ascii="仿宋_GB2312" w:hAnsi="仿宋_GB2312" w:eastAsia="仿宋_GB2312" w:cs="仿宋_GB2312"/>
        </w:rPr>
      </w:pPr>
      <w:r>
        <w:rPr>
          <w:rFonts w:hint="eastAsia" w:ascii="仿宋_GB2312" w:hAnsi="仿宋_GB2312" w:eastAsia="仿宋_GB2312" w:cs="仿宋_GB2312"/>
        </w:rPr>
        <w:t>1.指导学生参赛。教师指导学生参加一类竞赛，获得院级、省级、国家级团体奖项分别计30分、100分、300分，个人赛项按相应等级的60%计分。教师指导学生参加二类竞赛获奖按照一类竞赛三分之一赋分，参加其他类别竞赛获奖按照一类竞赛四分之一赋分。院级比赛按赛项计分，市级及以上奖励按获奖奖项计分。</w:t>
      </w:r>
    </w:p>
    <w:p>
      <w:pPr>
        <w:ind w:firstLine="640"/>
        <w:rPr>
          <w:rFonts w:hint="eastAsia" w:ascii="仿宋_GB2312" w:hAnsi="仿宋_GB2312" w:eastAsia="仿宋_GB2312" w:cs="仿宋_GB2312"/>
        </w:rPr>
      </w:pPr>
      <w:r>
        <w:rPr>
          <w:rFonts w:hint="eastAsia" w:ascii="仿宋_GB2312" w:hAnsi="仿宋_GB2312" w:eastAsia="仿宋_GB2312" w:cs="仿宋_GB2312"/>
        </w:rPr>
        <w:t>2.组织承办学生竞赛。根据省赛、国赛要求，结合学院实际制定竞赛方案，组织</w:t>
      </w:r>
      <w:bookmarkStart w:id="9" w:name="_Hlk122602015"/>
      <w:r>
        <w:rPr>
          <w:rFonts w:hint="eastAsia" w:ascii="仿宋_GB2312" w:hAnsi="仿宋_GB2312" w:eastAsia="仿宋_GB2312" w:cs="仿宋_GB2312"/>
        </w:rPr>
        <w:t>承办校级、省级及国家级学生竞赛，每项分别计30分、150分、300分。</w:t>
      </w:r>
      <w:bookmarkEnd w:id="9"/>
    </w:p>
    <w:p>
      <w:pPr>
        <w:ind w:firstLine="643"/>
        <w:rPr>
          <w:rFonts w:hint="eastAsia" w:ascii="楷体_GB2312" w:hAnsi="楷体_GB2312" w:eastAsia="楷体_GB2312" w:cs="楷体_GB2312"/>
          <w:b w:val="0"/>
          <w:bCs w:val="0"/>
        </w:rPr>
      </w:pPr>
      <w:r>
        <w:rPr>
          <w:rFonts w:hint="eastAsia" w:ascii="楷体_GB2312" w:hAnsi="楷体_GB2312" w:eastAsia="楷体_GB2312" w:cs="楷体_GB2312"/>
          <w:b w:val="0"/>
          <w:bCs w:val="0"/>
        </w:rPr>
        <w:t>（七）校企合作类</w:t>
      </w:r>
    </w:p>
    <w:p>
      <w:pPr>
        <w:ind w:firstLine="640"/>
        <w:rPr>
          <w:rFonts w:hint="eastAsia" w:ascii="仿宋_GB2312" w:hAnsi="仿宋_GB2312" w:eastAsia="仿宋_GB2312" w:cs="仿宋_GB2312"/>
        </w:rPr>
      </w:pPr>
      <w:r>
        <w:rPr>
          <w:rFonts w:hint="eastAsia" w:ascii="仿宋_GB2312" w:hAnsi="仿宋_GB2312" w:eastAsia="仿宋_GB2312" w:cs="仿宋_GB2312"/>
        </w:rPr>
        <w:t>1.校外基地建设。开发专业对口的校外实训基地，签订校企合作协议，并按协议内容开展工作，每个基地计30分。</w:t>
      </w:r>
    </w:p>
    <w:p>
      <w:pPr>
        <w:ind w:firstLine="640"/>
        <w:rPr>
          <w:rFonts w:hint="eastAsia" w:ascii="仿宋_GB2312" w:hAnsi="仿宋_GB2312" w:eastAsia="仿宋_GB2312" w:cs="仿宋_GB2312"/>
        </w:rPr>
      </w:pPr>
      <w:r>
        <w:rPr>
          <w:rFonts w:hint="eastAsia" w:ascii="仿宋_GB2312" w:hAnsi="仿宋_GB2312" w:eastAsia="仿宋_GB2312" w:cs="仿宋_GB2312"/>
        </w:rPr>
        <w:t>2.高水平基地建设。申报院级、省级、国家级高水平实训基地，成功获批并按照工作计划通过结项验收，每个基地分别计算100分、400分、700分。</w:t>
      </w:r>
    </w:p>
    <w:p>
      <w:pPr>
        <w:ind w:firstLine="640"/>
        <w:rPr>
          <w:rFonts w:hint="eastAsia" w:ascii="仿宋_GB2312" w:hAnsi="仿宋_GB2312" w:eastAsia="仿宋_GB2312" w:cs="仿宋_GB2312"/>
        </w:rPr>
      </w:pPr>
      <w:r>
        <w:rPr>
          <w:rFonts w:hint="eastAsia" w:ascii="仿宋_GB2312" w:hAnsi="仿宋_GB2312" w:eastAsia="仿宋_GB2312" w:cs="仿宋_GB2312"/>
        </w:rPr>
        <w:t>3.企业实训管理。参与企业实训跟班管理工作，按照实训计划学时的20%计分。</w:t>
      </w:r>
    </w:p>
    <w:p>
      <w:pPr>
        <w:ind w:firstLine="640"/>
        <w:rPr>
          <w:rFonts w:hint="eastAsia" w:ascii="仿宋_GB2312" w:hAnsi="仿宋_GB2312" w:eastAsia="仿宋_GB2312" w:cs="仿宋_GB2312"/>
        </w:rPr>
      </w:pPr>
      <w:r>
        <w:rPr>
          <w:rFonts w:hint="eastAsia" w:ascii="仿宋_GB2312" w:hAnsi="仿宋_GB2312" w:eastAsia="仿宋_GB2312" w:cs="仿宋_GB2312"/>
        </w:rPr>
        <w:t>4.专业社会服务。组织学生参加专业社会服务，每天计10分。</w:t>
      </w:r>
    </w:p>
    <w:p>
      <w:pPr>
        <w:ind w:firstLine="640"/>
        <w:rPr>
          <w:rFonts w:hint="eastAsia" w:ascii="仿宋_GB2312" w:hAnsi="仿宋_GB2312" w:eastAsia="仿宋_GB2312" w:cs="仿宋_GB2312"/>
        </w:rPr>
      </w:pPr>
      <w:r>
        <w:rPr>
          <w:rFonts w:hint="eastAsia" w:ascii="仿宋_GB2312" w:hAnsi="仿宋_GB2312" w:eastAsia="仿宋_GB2312" w:cs="仿宋_GB2312"/>
        </w:rPr>
        <w:t>5.教师企业实践。依据上级和学院的培养要求,组织教师赴企事业单位兼职参加实践，校企合作开展课程建设、教材建设等方面工作，达到预期效果，每月计20分。</w:t>
      </w:r>
    </w:p>
    <w:p>
      <w:pPr>
        <w:ind w:firstLine="643"/>
        <w:rPr>
          <w:rFonts w:hint="eastAsia" w:ascii="楷体_GB2312" w:hAnsi="楷体_GB2312" w:eastAsia="楷体_GB2312" w:cs="楷体_GB2312"/>
          <w:b w:val="0"/>
          <w:bCs w:val="0"/>
        </w:rPr>
      </w:pPr>
      <w:r>
        <w:rPr>
          <w:rFonts w:hint="eastAsia" w:ascii="楷体_GB2312" w:hAnsi="楷体_GB2312" w:eastAsia="楷体_GB2312" w:cs="楷体_GB2312"/>
          <w:b w:val="0"/>
          <w:bCs w:val="0"/>
        </w:rPr>
        <w:t>（八）服务人才培养类</w:t>
      </w:r>
    </w:p>
    <w:p>
      <w:pPr>
        <w:ind w:firstLine="640"/>
        <w:rPr>
          <w:rFonts w:hint="eastAsia" w:ascii="仿宋_GB2312" w:hAnsi="仿宋_GB2312" w:eastAsia="仿宋_GB2312" w:cs="仿宋_GB2312"/>
        </w:rPr>
      </w:pPr>
      <w:r>
        <w:rPr>
          <w:rFonts w:hint="eastAsia" w:ascii="仿宋_GB2312" w:hAnsi="仿宋_GB2312" w:eastAsia="仿宋_GB2312" w:cs="仿宋_GB2312"/>
        </w:rPr>
        <w:t>1.组织运动会。根据学院安排，制定运动会方案，并圆满完成组织任务，每次给予教师团队计100分。</w:t>
      </w:r>
    </w:p>
    <w:p>
      <w:pPr>
        <w:ind w:firstLine="640"/>
        <w:rPr>
          <w:rFonts w:hint="eastAsia" w:ascii="仿宋_GB2312" w:hAnsi="仿宋_GB2312" w:eastAsia="仿宋_GB2312" w:cs="仿宋_GB2312"/>
        </w:rPr>
      </w:pPr>
      <w:r>
        <w:rPr>
          <w:rFonts w:hint="eastAsia" w:ascii="仿宋_GB2312" w:hAnsi="仿宋_GB2312" w:eastAsia="仿宋_GB2312" w:cs="仿宋_GB2312"/>
        </w:rPr>
        <w:t>2.教师公开课、示范课等。教师根据学院及二级学院安排，面向校内外同行开展的公开课、示范课等活动，每次计8分。</w:t>
      </w:r>
    </w:p>
    <w:p>
      <w:pPr>
        <w:ind w:firstLine="640"/>
        <w:rPr>
          <w:rFonts w:hint="eastAsia" w:ascii="仿宋_GB2312" w:hAnsi="仿宋_GB2312" w:eastAsia="仿宋_GB2312" w:cs="仿宋_GB2312"/>
        </w:rPr>
      </w:pPr>
      <w:r>
        <w:rPr>
          <w:rFonts w:hint="eastAsia" w:ascii="仿宋_GB2312" w:hAnsi="仿宋_GB2312" w:eastAsia="仿宋_GB2312" w:cs="仿宋_GB2312"/>
        </w:rPr>
        <w:t>3.教研室主任、专业带头人等。根据学院工作安排，承担教研室主任、专业带头人等方面工作，并圆满完成工作任务，每年计60分。</w:t>
      </w:r>
    </w:p>
    <w:p>
      <w:pPr>
        <w:ind w:firstLine="643"/>
        <w:rPr>
          <w:rFonts w:hint="eastAsia" w:ascii="楷体_GB2312" w:hAnsi="楷体_GB2312" w:eastAsia="楷体_GB2312" w:cs="楷体_GB2312"/>
          <w:b w:val="0"/>
          <w:bCs w:val="0"/>
        </w:rPr>
      </w:pPr>
      <w:r>
        <w:rPr>
          <w:rFonts w:hint="eastAsia" w:ascii="楷体_GB2312" w:hAnsi="楷体_GB2312" w:eastAsia="楷体_GB2312" w:cs="楷体_GB2312"/>
          <w:b w:val="0"/>
          <w:bCs w:val="0"/>
        </w:rPr>
        <w:t>（九）社会培训类</w:t>
      </w:r>
    </w:p>
    <w:p>
      <w:pPr>
        <w:ind w:firstLine="640"/>
        <w:rPr>
          <w:rFonts w:hint="eastAsia" w:ascii="仿宋_GB2312" w:hAnsi="仿宋_GB2312" w:eastAsia="仿宋_GB2312" w:cs="仿宋_GB2312"/>
        </w:rPr>
      </w:pPr>
      <w:r>
        <w:rPr>
          <w:rFonts w:hint="eastAsia" w:ascii="仿宋_GB2312" w:hAnsi="仿宋_GB2312" w:eastAsia="仿宋_GB2312" w:cs="仿宋_GB2312"/>
        </w:rPr>
        <w:t>1.院内讲座、学术报告。根据学院及二级学院安排，为师生开展讲座、报告等。二级学院认定，提供通知、照片等，归口单位审核，每次计8分。</w:t>
      </w:r>
    </w:p>
    <w:p>
      <w:pPr>
        <w:ind w:firstLine="640"/>
        <w:rPr>
          <w:rFonts w:hint="eastAsia" w:ascii="仿宋_GB2312" w:hAnsi="仿宋_GB2312" w:eastAsia="仿宋_GB2312" w:cs="仿宋_GB2312"/>
        </w:rPr>
      </w:pPr>
      <w:r>
        <w:rPr>
          <w:rFonts w:hint="eastAsia" w:ascii="仿宋_GB2312" w:hAnsi="仿宋_GB2312" w:eastAsia="仿宋_GB2312" w:cs="仿宋_GB2312"/>
        </w:rPr>
        <w:t>2.社会人员讲座、报告、培训（不与专任教师教学工作量定额学时重复使用）。根据学院及二级学院安排，对社会人员进行培训。二级学院认定，提供通知、照片等，培训归口单位审核，每次计10分。</w:t>
      </w:r>
    </w:p>
    <w:p>
      <w:pPr>
        <w:ind w:firstLine="640"/>
      </w:pPr>
      <w:r>
        <w:rPr>
          <w:rFonts w:hint="eastAsia" w:ascii="黑体" w:hAnsi="黑体" w:eastAsia="黑体" w:cs="黑体"/>
        </w:rPr>
        <w:t>第六条</w:t>
      </w:r>
      <w:r>
        <w:rPr>
          <w:rFonts w:hint="eastAsia"/>
        </w:rPr>
        <w:t xml:space="preserve"> 教学建设工作计分说明。</w:t>
      </w:r>
    </w:p>
    <w:p>
      <w:pPr>
        <w:ind w:firstLine="640"/>
        <w:rPr>
          <w:rFonts w:hint="eastAsia" w:ascii="仿宋_GB2312" w:hAnsi="仿宋_GB2312" w:eastAsia="仿宋_GB2312" w:cs="仿宋_GB2312"/>
        </w:rPr>
      </w:pPr>
      <w:r>
        <w:rPr>
          <w:rFonts w:hint="eastAsia" w:ascii="仿宋_GB2312" w:hAnsi="仿宋_GB2312" w:eastAsia="仿宋_GB2312" w:cs="仿宋_GB2312"/>
        </w:rPr>
        <w:t>（一）我院教师独立完成或署名第一且我校教师为第一完成人的各项建设项目或成果，按100%计算教学建设工作量。我院教师参与的项目或成果按四分之一赋分折合。</w:t>
      </w:r>
    </w:p>
    <w:p>
      <w:pPr>
        <w:ind w:firstLine="640"/>
        <w:rPr>
          <w:rFonts w:hint="eastAsia" w:ascii="仿宋_GB2312" w:hAnsi="仿宋_GB2312" w:eastAsia="仿宋_GB2312" w:cs="仿宋_GB2312"/>
        </w:rPr>
      </w:pPr>
      <w:r>
        <w:rPr>
          <w:rFonts w:hint="eastAsia" w:ascii="仿宋_GB2312" w:hAnsi="仿宋_GB2312" w:eastAsia="仿宋_GB2312" w:cs="仿宋_GB2312"/>
        </w:rPr>
        <w:t>（二）各类项目按项赋分，多名教师承担某项工作的，由项目负责人按每人承担任务情况赋分。</w:t>
      </w:r>
    </w:p>
    <w:p>
      <w:pPr>
        <w:ind w:firstLine="640"/>
        <w:rPr>
          <w:rFonts w:hint="eastAsia" w:ascii="仿宋_GB2312" w:hAnsi="仿宋_GB2312" w:eastAsia="仿宋_GB2312" w:cs="仿宋_GB2312"/>
        </w:rPr>
      </w:pPr>
      <w:r>
        <w:rPr>
          <w:rFonts w:hint="eastAsia" w:ascii="仿宋_GB2312" w:hAnsi="仿宋_GB2312" w:eastAsia="仿宋_GB2312" w:cs="仿宋_GB2312"/>
        </w:rPr>
        <w:t>（三）同一教学建设项目或成果按最高教学建设业绩计算一次，不重复计算。后获得高一级项目或成果可以补差教学建设分值。奖励项目如有特等奖则按一等奖计，以此类推。</w:t>
      </w:r>
    </w:p>
    <w:p>
      <w:pPr>
        <w:ind w:firstLine="640"/>
        <w:rPr>
          <w:rFonts w:hint="eastAsia" w:ascii="仿宋_GB2312" w:hAnsi="仿宋_GB2312" w:eastAsia="仿宋_GB2312" w:cs="仿宋_GB2312"/>
        </w:rPr>
      </w:pPr>
      <w:r>
        <w:rPr>
          <w:rFonts w:hint="eastAsia" w:ascii="仿宋_GB2312" w:hAnsi="仿宋_GB2312" w:eastAsia="仿宋_GB2312" w:cs="仿宋_GB2312"/>
        </w:rPr>
        <w:t>（四）需要验收的项目，立项和验收时分别计分，立项当年获得总分值的40%，结项后获得总分值的60%。</w:t>
      </w:r>
    </w:p>
    <w:p>
      <w:pPr>
        <w:ind w:firstLine="640"/>
        <w:rPr>
          <w:rFonts w:hint="eastAsia" w:ascii="仿宋_GB2312" w:hAnsi="仿宋_GB2312" w:eastAsia="仿宋_GB2312" w:cs="仿宋_GB2312"/>
        </w:rPr>
      </w:pPr>
      <w:r>
        <w:rPr>
          <w:rFonts w:hint="eastAsia" w:ascii="仿宋_GB2312" w:hAnsi="仿宋_GB2312" w:eastAsia="仿宋_GB2312" w:cs="仿宋_GB2312"/>
        </w:rPr>
        <w:t>（五）参加各类项目申报或赛项比赛，未获批立项或未获奖的按相应等级的20%计分。</w:t>
      </w:r>
    </w:p>
    <w:p>
      <w:pPr>
        <w:ind w:firstLine="640"/>
        <w:rPr>
          <w:rFonts w:hint="eastAsia" w:ascii="仿宋_GB2312" w:hAnsi="仿宋_GB2312" w:eastAsia="仿宋_GB2312" w:cs="仿宋_GB2312"/>
        </w:rPr>
      </w:pPr>
      <w:r>
        <w:rPr>
          <w:rFonts w:hint="eastAsia" w:ascii="仿宋_GB2312" w:hAnsi="仿宋_GB2312" w:eastAsia="仿宋_GB2312" w:cs="仿宋_GB2312"/>
        </w:rPr>
        <w:t>（六）各类教学建设项目需提交相关证明材料方可认定赋分。</w:t>
      </w:r>
    </w:p>
    <w:p>
      <w:pPr>
        <w:ind w:firstLine="640"/>
        <w:rPr>
          <w:rFonts w:ascii="仿宋_GB2312" w:hAnsi="仿宋"/>
          <w:color w:val="000000" w:themeColor="text1"/>
          <w:szCs w:val="32"/>
          <w14:textFill>
            <w14:solidFill>
              <w14:schemeClr w14:val="tx1"/>
            </w14:solidFill>
          </w14:textFill>
        </w:rPr>
      </w:pPr>
      <w:r>
        <w:rPr>
          <w:rFonts w:hint="eastAsia" w:ascii="黑体" w:hAnsi="黑体" w:eastAsia="黑体" w:cs="黑体"/>
        </w:rPr>
        <w:t>第七条</w:t>
      </w:r>
      <w:r>
        <w:rPr>
          <w:rFonts w:hint="eastAsia"/>
        </w:rPr>
        <w:t xml:space="preserve"> </w:t>
      </w:r>
      <w:bookmarkStart w:id="10" w:name="_Hlk102940435"/>
      <w:r>
        <w:rPr>
          <w:rFonts w:hint="eastAsia"/>
        </w:rPr>
        <w:t>本办法为原则规定，各二级教学单位可以参照制定细则，报学院审议通过后实施。</w:t>
      </w:r>
      <w:bookmarkEnd w:id="10"/>
    </w:p>
    <w:p>
      <w:pPr>
        <w:spacing w:line="360" w:lineRule="auto"/>
        <w:ind w:firstLine="640"/>
        <w:rPr>
          <w:rFonts w:ascii="仿宋_GB2312" w:hAnsi="仿宋"/>
          <w:color w:val="000000" w:themeColor="text1"/>
          <w:szCs w:val="32"/>
          <w14:textFill>
            <w14:solidFill>
              <w14:schemeClr w14:val="tx1"/>
            </w14:solidFill>
          </w14:textFill>
        </w:rPr>
        <w:sectPr>
          <w:pgSz w:w="11906" w:h="16838"/>
          <w:pgMar w:top="2098" w:right="1474" w:bottom="1984" w:left="1587" w:header="851" w:footer="992" w:gutter="0"/>
          <w:pgNumType w:fmt="decimal"/>
          <w:cols w:space="425" w:num="1"/>
          <w:docGrid w:type="lines" w:linePitch="312" w:charSpace="0"/>
        </w:sectPr>
      </w:pPr>
    </w:p>
    <w:p>
      <w:pPr>
        <w:spacing w:line="360" w:lineRule="auto"/>
        <w:ind w:firstLine="640"/>
        <w:rPr>
          <w:rFonts w:ascii="仿宋_GB2312" w:hAnsi="仿宋"/>
          <w:color w:val="000000" w:themeColor="text1"/>
          <w:szCs w:val="32"/>
          <w14:textFill>
            <w14:solidFill>
              <w14:schemeClr w14:val="tx1"/>
            </w14:solidFill>
          </w14:textFill>
        </w:rPr>
        <w:sectPr>
          <w:type w:val="continuous"/>
          <w:pgSz w:w="11906" w:h="16838"/>
          <w:pgMar w:top="1440" w:right="1800" w:bottom="1440" w:left="1800" w:header="851" w:footer="992" w:gutter="0"/>
          <w:pgNumType w:fmt="decimal"/>
          <w:cols w:space="425" w:num="1"/>
          <w:docGrid w:type="lines" w:linePitch="312" w:charSpace="0"/>
        </w:sectPr>
      </w:pPr>
    </w:p>
    <w:p>
      <w:pPr>
        <w:spacing w:line="360" w:lineRule="auto"/>
        <w:ind w:firstLine="0" w:firstLineChars="0"/>
        <w:jc w:val="left"/>
        <w:rPr>
          <w:rFonts w:ascii="黑体" w:hAnsi="黑体" w:eastAsia="黑体" w:cs="黑体"/>
          <w:color w:val="000000" w:themeColor="text1"/>
          <w:szCs w:val="3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附件3</w:t>
      </w:r>
    </w:p>
    <w:p>
      <w:pPr>
        <w:pStyle w:val="20"/>
        <w:pageBreakBefore w:val="0"/>
        <w:spacing w:before="312" w:after="312"/>
      </w:pPr>
      <w:r>
        <w:rPr>
          <w:rFonts w:hint="eastAsia"/>
        </w:rPr>
        <w:t>北京青年政治学院</w:t>
      </w:r>
      <w:r>
        <w:rPr>
          <w:rFonts w:hint="eastAsia"/>
        </w:rPr>
        <w:br w:type="textWrapping"/>
      </w:r>
      <w:r>
        <w:rPr>
          <w:rFonts w:hint="eastAsia"/>
        </w:rPr>
        <w:t>教职工科研工作量计算办法</w:t>
      </w:r>
    </w:p>
    <w:p>
      <w:pPr>
        <w:adjustRightInd w:val="0"/>
        <w:snapToGrid w:val="0"/>
        <w:ind w:firstLine="0" w:firstLineChars="0"/>
        <w:jc w:val="center"/>
        <w:rPr>
          <w:rFonts w:ascii="黑体" w:hAnsi="黑体" w:eastAsia="黑体" w:cs="仿宋_GB2312"/>
          <w:color w:val="000000" w:themeColor="text1"/>
          <w:szCs w:val="32"/>
          <w14:textFill>
            <w14:solidFill>
              <w14:schemeClr w14:val="tx1"/>
            </w14:solidFill>
          </w14:textFill>
        </w:rPr>
      </w:pPr>
      <w:r>
        <w:rPr>
          <w:rFonts w:hint="eastAsia" w:ascii="黑体" w:hAnsi="黑体" w:eastAsia="黑体" w:cs="仿宋_GB2312"/>
          <w:color w:val="000000" w:themeColor="text1"/>
          <w:szCs w:val="32"/>
          <w14:textFill>
            <w14:solidFill>
              <w14:schemeClr w14:val="tx1"/>
            </w14:solidFill>
          </w14:textFill>
        </w:rPr>
        <w:t>第一章 总则</w:t>
      </w:r>
    </w:p>
    <w:p>
      <w:pPr>
        <w:ind w:firstLine="640"/>
        <w:rPr>
          <w:rFonts w:hint="eastAsia" w:ascii="仿宋_GB2312" w:hAnsi="仿宋_GB2312" w:eastAsia="仿宋_GB2312" w:cs="仿宋_GB2312"/>
        </w:rPr>
      </w:pPr>
      <w:r>
        <w:rPr>
          <w:rFonts w:hint="eastAsia" w:ascii="黑体" w:hAnsi="黑体" w:eastAsia="黑体" w:cs="黑体"/>
        </w:rPr>
        <w:t>第一条</w:t>
      </w:r>
      <w:r>
        <w:rPr>
          <w:rFonts w:hint="eastAsia"/>
        </w:rPr>
        <w:t xml:space="preserve"> 为充分调动广大教职工从事科学研究工作的积极性、主动性，促进学校师资队伍建设、提高教学质量和人才培养工作水平，根据《深化新时代教育评价改革总体方</w:t>
      </w:r>
      <w:r>
        <w:rPr>
          <w:rFonts w:hint="eastAsia" w:ascii="仿宋_GB2312" w:hAnsi="仿宋_GB2312" w:eastAsia="仿宋_GB2312" w:cs="仿宋_GB2312"/>
        </w:rPr>
        <w:t>案》（中发〔2020〕19号）和教育部《关于深化高校教师考核评价制度改革的指导意见》（教师〔2016〕7号）等文件精神，结合学院实际，制定本办法。</w:t>
      </w:r>
    </w:p>
    <w:p>
      <w:pPr>
        <w:ind w:firstLine="640"/>
      </w:pPr>
      <w:r>
        <w:rPr>
          <w:rFonts w:hint="eastAsia" w:ascii="黑体" w:hAnsi="黑体" w:eastAsia="黑体" w:cs="黑体"/>
        </w:rPr>
        <w:t>第二条</w:t>
      </w:r>
      <w:r>
        <w:rPr>
          <w:rFonts w:hint="eastAsia"/>
        </w:rPr>
        <w:t xml:space="preserve"> 本办法考核的对象为学院所有专兼职教师和其他专业技术人员，包括教学型教师、科研服务型教师和其他专业技术人员。</w:t>
      </w:r>
    </w:p>
    <w:p>
      <w:pPr>
        <w:ind w:firstLine="640"/>
      </w:pPr>
      <w:r>
        <w:rPr>
          <w:rFonts w:hint="eastAsia" w:ascii="黑体" w:hAnsi="黑体" w:eastAsia="黑体" w:cs="黑体"/>
        </w:rPr>
        <w:t>第三条</w:t>
      </w:r>
      <w:r>
        <w:rPr>
          <w:rFonts w:hint="eastAsia"/>
        </w:rPr>
        <w:t xml:space="preserve"> 科研工作考核采用年度考核与聘期考核相结合的方式进行。</w:t>
      </w:r>
    </w:p>
    <w:p>
      <w:pPr>
        <w:adjustRightInd w:val="0"/>
        <w:snapToGrid w:val="0"/>
        <w:ind w:firstLine="0" w:firstLineChars="0"/>
        <w:jc w:val="center"/>
        <w:rPr>
          <w:rFonts w:ascii="黑体" w:hAnsi="黑体" w:eastAsia="黑体" w:cs="仿宋_GB2312"/>
          <w:color w:val="000000" w:themeColor="text1"/>
          <w:szCs w:val="32"/>
          <w14:textFill>
            <w14:solidFill>
              <w14:schemeClr w14:val="tx1"/>
            </w14:solidFill>
          </w14:textFill>
        </w:rPr>
      </w:pPr>
      <w:r>
        <w:rPr>
          <w:rFonts w:hint="eastAsia" w:ascii="黑体" w:hAnsi="黑体" w:eastAsia="黑体" w:cs="仿宋_GB2312"/>
          <w:color w:val="000000" w:themeColor="text1"/>
          <w:szCs w:val="32"/>
          <w14:textFill>
            <w14:solidFill>
              <w14:schemeClr w14:val="tx1"/>
            </w14:solidFill>
          </w14:textFill>
        </w:rPr>
        <w:t>第二章 考核指标</w:t>
      </w:r>
    </w:p>
    <w:p>
      <w:pPr>
        <w:ind w:firstLine="640"/>
        <w:rPr>
          <w:rFonts w:hint="eastAsia"/>
        </w:rPr>
      </w:pPr>
      <w:r>
        <w:rPr>
          <w:rFonts w:hint="eastAsia" w:ascii="黑体" w:hAnsi="黑体" w:eastAsia="黑体" w:cs="黑体"/>
        </w:rPr>
        <w:t>第四条</w:t>
      </w:r>
      <w:r>
        <w:rPr>
          <w:rFonts w:hint="eastAsia"/>
        </w:rPr>
        <w:t xml:space="preserve"> 教职工年度科研工作量定额标准，依据人员类别、专业技术职称确定（参见</w:t>
      </w:r>
      <w:r>
        <w:rPr>
          <w:rFonts w:hint="eastAsia" w:ascii="仿宋_GB2312" w:hAnsi="仿宋_GB2312" w:eastAsia="仿宋_GB2312" w:cs="仿宋_GB2312"/>
        </w:rPr>
        <w:t>附表1）。</w:t>
      </w:r>
      <w:r>
        <w:rPr>
          <w:rFonts w:hint="eastAsia"/>
        </w:rPr>
        <w:t>其中，科研服务型副高级及以上专业技术人员年度科研工作量总分值中须有一定比例的质量分值。</w:t>
      </w:r>
    </w:p>
    <w:p>
      <w:pPr>
        <w:ind w:firstLine="640"/>
      </w:pPr>
      <w:r>
        <w:rPr>
          <w:rFonts w:hint="eastAsia"/>
        </w:rPr>
        <w:t>教职工聘期科研工作量定额标准，即聘期内各年度科研工作量定额标准总和。</w:t>
      </w:r>
    </w:p>
    <w:p>
      <w:pPr>
        <w:ind w:firstLine="640"/>
      </w:pPr>
      <w:r>
        <w:rPr>
          <w:rFonts w:hint="eastAsia" w:ascii="黑体" w:hAnsi="黑体" w:eastAsia="黑体" w:cs="黑体"/>
        </w:rPr>
        <w:t>第五条</w:t>
      </w:r>
      <w:r>
        <w:rPr>
          <w:rFonts w:hint="eastAsia"/>
        </w:rPr>
        <w:t xml:space="preserve"> 教职工专业技术职务发生变化者，当年考核按变化前的专业技术职务所对应的科研工作量定额进行考核。低职高聘和高职低聘者，按聘任职级考核。</w:t>
      </w:r>
    </w:p>
    <w:p>
      <w:pPr>
        <w:ind w:firstLine="640"/>
      </w:pPr>
      <w:r>
        <w:rPr>
          <w:rFonts w:hint="eastAsia" w:ascii="黑体" w:hAnsi="黑体" w:eastAsia="黑体" w:cs="黑体"/>
        </w:rPr>
        <w:t>第六条</w:t>
      </w:r>
      <w:r>
        <w:rPr>
          <w:rFonts w:hint="eastAsia"/>
        </w:rPr>
        <w:t xml:space="preserve"> 聘在以下岗位的教职工，科研工作量须达到以下要求：</w:t>
      </w:r>
    </w:p>
    <w:p>
      <w:pPr>
        <w:ind w:firstLine="640"/>
        <w:rPr>
          <w:rFonts w:hint="eastAsia" w:ascii="仿宋_GB2312" w:hAnsi="仿宋_GB2312" w:eastAsia="仿宋_GB2312" w:cs="仿宋_GB2312"/>
        </w:rPr>
      </w:pPr>
      <w:r>
        <w:rPr>
          <w:rFonts w:hint="eastAsia" w:ascii="仿宋_GB2312" w:hAnsi="仿宋_GB2312" w:eastAsia="仿宋_GB2312" w:cs="仿宋_GB2312"/>
        </w:rPr>
        <w:t>（一）教职工担任二级教学单位党政领导的，科研工作量须达到同类同级岗位教学型教师规定的工作量定额的1/2；</w:t>
      </w:r>
    </w:p>
    <w:p>
      <w:pPr>
        <w:ind w:firstLine="640"/>
        <w:rPr>
          <w:rFonts w:hint="eastAsia" w:ascii="仿宋_GB2312" w:hAnsi="仿宋_GB2312" w:eastAsia="仿宋_GB2312" w:cs="仿宋_GB2312"/>
        </w:rPr>
      </w:pPr>
      <w:r>
        <w:rPr>
          <w:rFonts w:hint="eastAsia" w:ascii="仿宋_GB2312" w:hAnsi="仿宋_GB2312" w:eastAsia="仿宋_GB2312" w:cs="仿宋_GB2312"/>
        </w:rPr>
        <w:t>（二）教学单位教职工担任党支部书记、兼职班主任的，科研工作量须达到同类同级岗位教学型教师规定的工作量定额的4/5；</w:t>
      </w:r>
    </w:p>
    <w:p>
      <w:pPr>
        <w:ind w:firstLine="640"/>
        <w:rPr>
          <w:rFonts w:hint="eastAsia" w:ascii="仿宋_GB2312" w:hAnsi="仿宋_GB2312" w:eastAsia="仿宋_GB2312" w:cs="仿宋_GB2312"/>
        </w:rPr>
      </w:pPr>
      <w:r>
        <w:rPr>
          <w:rFonts w:hint="eastAsia" w:ascii="仿宋_GB2312" w:hAnsi="仿宋_GB2312" w:eastAsia="仿宋_GB2312" w:cs="仿宋_GB2312"/>
        </w:rPr>
        <w:t>（三）教职工担任专职辅导员的，科研工作量须达到同类同级岗位教学型教师规定的工作量定额的1/3；</w:t>
      </w:r>
    </w:p>
    <w:p>
      <w:pPr>
        <w:ind w:firstLine="640"/>
        <w:rPr>
          <w:rFonts w:hint="eastAsia" w:ascii="仿宋_GB2312" w:hAnsi="仿宋_GB2312" w:eastAsia="仿宋_GB2312" w:cs="仿宋_GB2312"/>
        </w:rPr>
      </w:pPr>
      <w:r>
        <w:rPr>
          <w:rFonts w:hint="eastAsia" w:ascii="仿宋_GB2312" w:hAnsi="仿宋_GB2312" w:eastAsia="仿宋_GB2312" w:cs="仿宋_GB2312"/>
        </w:rPr>
        <w:t>（四）教职工聘在其他行政岗位的，科研工作量须达到同类同级岗位教学型教师规定的工作量定额的1/2。</w:t>
      </w:r>
    </w:p>
    <w:p>
      <w:pPr>
        <w:ind w:firstLine="640"/>
        <w:rPr>
          <w:rFonts w:hint="eastAsia" w:ascii="仿宋_GB2312" w:hAnsi="仿宋_GB2312" w:eastAsia="仿宋_GB2312" w:cs="仿宋_GB2312"/>
        </w:rPr>
      </w:pPr>
      <w:r>
        <w:rPr>
          <w:rFonts w:hint="eastAsia" w:ascii="仿宋_GB2312" w:hAnsi="仿宋_GB2312" w:eastAsia="仿宋_GB2312" w:cs="仿宋_GB2312"/>
        </w:rPr>
        <w:t>同时兼任多个职务的，不重复计算减免工作量，按最高减免额度计算。</w:t>
      </w:r>
    </w:p>
    <w:p>
      <w:pPr>
        <w:ind w:firstLine="640"/>
        <w:rPr>
          <w:rFonts w:hint="eastAsia" w:ascii="仿宋_GB2312" w:hAnsi="仿宋_GB2312" w:eastAsia="仿宋_GB2312" w:cs="仿宋_GB2312"/>
        </w:rPr>
      </w:pPr>
      <w:r>
        <w:rPr>
          <w:rFonts w:hint="eastAsia" w:ascii="仿宋_GB2312" w:hAnsi="仿宋_GB2312" w:eastAsia="仿宋_GB2312" w:cs="仿宋_GB2312"/>
        </w:rPr>
        <w:t>第七条 学院选派全脱产参加企业实践、借调和挂职的教职工，科研工作量须达到同类同级岗位专任教师规定的工作量定额的3/4。非全脱产的，应完成同类同级岗位专任教师规定的工作量定额。</w:t>
      </w:r>
    </w:p>
    <w:p>
      <w:pPr>
        <w:ind w:firstLine="640"/>
        <w:rPr>
          <w:rFonts w:hint="eastAsia" w:ascii="仿宋_GB2312" w:hAnsi="仿宋_GB2312" w:eastAsia="仿宋_GB2312" w:cs="仿宋_GB2312"/>
        </w:rPr>
      </w:pPr>
      <w:r>
        <w:rPr>
          <w:rFonts w:hint="eastAsia" w:ascii="仿宋_GB2312" w:hAnsi="仿宋_GB2312" w:eastAsia="仿宋_GB2312" w:cs="仿宋_GB2312"/>
        </w:rPr>
        <w:t>根据上级要求选调的援疆干部、第一书记、对口帮扶等教职工，科研工作量不作要求。</w:t>
      </w:r>
    </w:p>
    <w:p>
      <w:pPr>
        <w:adjustRightInd w:val="0"/>
        <w:snapToGrid w:val="0"/>
        <w:ind w:firstLine="0" w:firstLineChars="0"/>
        <w:jc w:val="center"/>
        <w:rPr>
          <w:rFonts w:ascii="黑体" w:hAnsi="黑体" w:eastAsia="黑体" w:cs="仿宋_GB2312"/>
          <w:color w:val="000000" w:themeColor="text1"/>
          <w:szCs w:val="32"/>
          <w14:textFill>
            <w14:solidFill>
              <w14:schemeClr w14:val="tx1"/>
            </w14:solidFill>
          </w14:textFill>
        </w:rPr>
      </w:pPr>
      <w:r>
        <w:rPr>
          <w:rFonts w:hint="eastAsia" w:ascii="黑体" w:hAnsi="黑体" w:eastAsia="黑体" w:cs="仿宋_GB2312"/>
          <w:color w:val="000000" w:themeColor="text1"/>
          <w:szCs w:val="32"/>
          <w14:textFill>
            <w14:solidFill>
              <w14:schemeClr w14:val="tx1"/>
            </w14:solidFill>
          </w14:textFill>
        </w:rPr>
        <w:t>第三章 计分标准</w:t>
      </w:r>
    </w:p>
    <w:p>
      <w:pPr>
        <w:ind w:firstLine="640"/>
        <w:rPr>
          <w:rFonts w:hint="eastAsia" w:ascii="仿宋_GB2312" w:hAnsi="仿宋_GB2312" w:eastAsia="仿宋_GB2312" w:cs="仿宋_GB2312"/>
        </w:rPr>
      </w:pPr>
      <w:r>
        <w:rPr>
          <w:rFonts w:hint="eastAsia" w:ascii="黑体" w:hAnsi="黑体" w:eastAsia="黑体" w:cs="黑体"/>
        </w:rPr>
        <w:t>第八条</w:t>
      </w:r>
      <w:r>
        <w:rPr>
          <w:rFonts w:hint="eastAsia"/>
        </w:rPr>
        <w:t xml:space="preserve"> </w:t>
      </w:r>
      <w:r>
        <w:rPr>
          <w:rFonts w:hint="eastAsia" w:ascii="仿宋_GB2312" w:hAnsi="仿宋_GB2312" w:eastAsia="仿宋_GB2312" w:cs="仿宋_GB2312"/>
        </w:rPr>
        <w:t xml:space="preserve">科研工作考核采用量化积分制，科研工作量为当年的1月1日至12月31日期间从事科研活动的工作量。 </w:t>
      </w:r>
    </w:p>
    <w:p>
      <w:pPr>
        <w:ind w:firstLine="640"/>
        <w:rPr>
          <w:rFonts w:hint="eastAsia" w:ascii="仿宋_GB2312" w:hAnsi="仿宋_GB2312" w:eastAsia="仿宋_GB2312" w:cs="仿宋_GB2312"/>
        </w:rPr>
      </w:pPr>
      <w:r>
        <w:rPr>
          <w:rFonts w:hint="eastAsia" w:ascii="黑体" w:hAnsi="黑体" w:eastAsia="黑体" w:cs="黑体"/>
        </w:rPr>
        <w:t>第九条</w:t>
      </w:r>
      <w:r>
        <w:rPr>
          <w:rFonts w:hint="eastAsia"/>
        </w:rPr>
        <w:t xml:space="preserve"> </w:t>
      </w:r>
      <w:r>
        <w:rPr>
          <w:rFonts w:hint="eastAsia" w:ascii="仿宋_GB2312" w:hAnsi="仿宋_GB2312" w:eastAsia="仿宋_GB2312" w:cs="仿宋_GB2312"/>
        </w:rPr>
        <w:t>科研工作量计分范围包括：科研项目、科研成果（论文类成果、著作类成果、获奖类成果、研究报告、优秀网络文化成果、知识产权和其他形式的科研成果）、艺术作品、平台建设、团队建设、学术活动以及经学校学术委员会认定的工作业绩。（参见附表2）</w:t>
      </w:r>
    </w:p>
    <w:p>
      <w:pPr>
        <w:ind w:firstLine="640"/>
      </w:pPr>
      <w:r>
        <w:rPr>
          <w:rFonts w:hint="eastAsia" w:ascii="黑体" w:hAnsi="黑体" w:eastAsia="黑体" w:cs="黑体"/>
        </w:rPr>
        <w:t>第十条</w:t>
      </w:r>
      <w:r>
        <w:rPr>
          <w:rFonts w:hint="eastAsia"/>
        </w:rPr>
        <w:t xml:space="preserve"> 质量分值计分范围包括：</w:t>
      </w:r>
    </w:p>
    <w:p>
      <w:pPr>
        <w:ind w:firstLine="640"/>
        <w:rPr>
          <w:rFonts w:hint="eastAsia" w:ascii="仿宋_GB2312" w:hAnsi="仿宋_GB2312" w:eastAsia="仿宋_GB2312" w:cs="仿宋_GB2312"/>
        </w:rPr>
      </w:pPr>
      <w:r>
        <w:rPr>
          <w:rFonts w:hint="eastAsia" w:ascii="仿宋_GB2312" w:hAnsi="仿宋_GB2312" w:eastAsia="仿宋_GB2312" w:cs="仿宋_GB2312"/>
        </w:rPr>
        <w:t>（一）科研项目。主持厅局级及以上科研项目；或主持横向项目到账经费1万元及以上。</w:t>
      </w:r>
    </w:p>
    <w:p>
      <w:pPr>
        <w:ind w:firstLine="640"/>
        <w:rPr>
          <w:rFonts w:hint="eastAsia" w:ascii="仿宋_GB2312" w:hAnsi="仿宋_GB2312" w:eastAsia="仿宋_GB2312" w:cs="仿宋_GB2312"/>
        </w:rPr>
      </w:pPr>
      <w:r>
        <w:rPr>
          <w:rFonts w:hint="eastAsia" w:ascii="仿宋_GB2312" w:hAnsi="仿宋_GB2312" w:eastAsia="仿宋_GB2312" w:cs="仿宋_GB2312"/>
        </w:rPr>
        <w:t>（二）科研成果。四级及以上论文；作者排名前三位著作；三级及以上研究报告；厅局级及以上获奖成果；重大网络传播作品、较大网络传播作品。</w:t>
      </w:r>
    </w:p>
    <w:p>
      <w:pPr>
        <w:ind w:firstLine="640"/>
        <w:rPr>
          <w:rFonts w:hint="eastAsia" w:ascii="仿宋_GB2312" w:hAnsi="仿宋_GB2312" w:eastAsia="仿宋_GB2312" w:cs="仿宋_GB2312"/>
        </w:rPr>
      </w:pPr>
      <w:r>
        <w:rPr>
          <w:rFonts w:hint="eastAsia" w:ascii="仿宋_GB2312" w:hAnsi="仿宋_GB2312" w:eastAsia="仿宋_GB2312" w:cs="仿宋_GB2312"/>
        </w:rPr>
        <w:t>（三）附表2所涉及到的参展或收藏艺术作品，以及CSSCI（中文社会科学引文索引）和《中文核心期刊要目总览》收录期刊所发表的艺术作品。</w:t>
      </w:r>
    </w:p>
    <w:p>
      <w:pPr>
        <w:ind w:firstLine="640"/>
        <w:rPr>
          <w:rFonts w:hint="eastAsia" w:ascii="仿宋_GB2312" w:hAnsi="仿宋_GB2312" w:eastAsia="仿宋_GB2312" w:cs="仿宋_GB2312"/>
        </w:rPr>
      </w:pPr>
      <w:r>
        <w:rPr>
          <w:rFonts w:hint="eastAsia" w:ascii="仿宋_GB2312" w:hAnsi="仿宋_GB2312" w:eastAsia="仿宋_GB2312" w:cs="仿宋_GB2312"/>
        </w:rPr>
        <w:t>（四）国家级、省部级科研平台建设以及学报工作。</w:t>
      </w:r>
    </w:p>
    <w:p>
      <w:pPr>
        <w:ind w:firstLine="640"/>
        <w:rPr>
          <w:rFonts w:hint="eastAsia" w:ascii="仿宋_GB2312" w:hAnsi="仿宋_GB2312" w:eastAsia="仿宋_GB2312" w:cs="仿宋_GB2312"/>
        </w:rPr>
      </w:pPr>
      <w:r>
        <w:rPr>
          <w:rFonts w:hint="eastAsia" w:ascii="仿宋_GB2312" w:hAnsi="仿宋_GB2312" w:eastAsia="仿宋_GB2312" w:cs="仿宋_GB2312"/>
        </w:rPr>
        <w:t>（五）国家级、省部级科研创新团队建设。</w:t>
      </w:r>
    </w:p>
    <w:p>
      <w:pPr>
        <w:ind w:firstLine="640"/>
        <w:rPr>
          <w:rFonts w:hint="eastAsia" w:ascii="仿宋_GB2312" w:hAnsi="仿宋_GB2312" w:eastAsia="仿宋_GB2312" w:cs="仿宋_GB2312"/>
        </w:rPr>
      </w:pPr>
      <w:r>
        <w:rPr>
          <w:rFonts w:hint="eastAsia" w:ascii="仿宋_GB2312" w:hAnsi="仿宋_GB2312" w:eastAsia="仿宋_GB2312" w:cs="仿宋_GB2312"/>
        </w:rPr>
        <w:t>（六）经学校学术委员会认定的可计入质量分值的其他科研成果。</w:t>
      </w:r>
    </w:p>
    <w:p>
      <w:pPr>
        <w:ind w:firstLine="640"/>
        <w:rPr>
          <w:rFonts w:hint="eastAsia"/>
        </w:rPr>
      </w:pPr>
      <w:r>
        <w:rPr>
          <w:rFonts w:hint="eastAsia" w:ascii="黑体" w:hAnsi="黑体" w:eastAsia="黑体" w:cs="黑体"/>
        </w:rPr>
        <w:t>第十一条</w:t>
      </w:r>
      <w:r>
        <w:rPr>
          <w:rFonts w:hint="eastAsia"/>
        </w:rPr>
        <w:t xml:space="preserve"> 教职工可用教学工作量学时、教学建设工作量分值冲抵科研工作量分值，科研工作量分</w:t>
      </w:r>
      <w:r>
        <w:rPr>
          <w:rFonts w:hint="eastAsia" w:ascii="仿宋_GB2312" w:hAnsi="仿宋_GB2312" w:eastAsia="仿宋_GB2312" w:cs="仿宋_GB2312"/>
        </w:rPr>
        <w:t>值可以冲抵教学建设工作量中的教研分值，上限为相应工作量定额的15%，科研服务型教师冲抵上限可以达到20%。用于冲抵的科研项目、科研成果的内容应与学院事业发展相关。冲抵的工作量不能重复</w:t>
      </w:r>
      <w:r>
        <w:rPr>
          <w:rFonts w:hint="eastAsia"/>
        </w:rPr>
        <w:t>计算。</w:t>
      </w:r>
    </w:p>
    <w:p>
      <w:pPr>
        <w:ind w:firstLine="640"/>
        <w:rPr>
          <w:rFonts w:hint="eastAsia" w:ascii="仿宋_GB2312" w:hAnsi="仿宋_GB2312" w:eastAsia="仿宋_GB2312" w:cs="仿宋_GB2312"/>
        </w:rPr>
      </w:pPr>
      <w:r>
        <w:rPr>
          <w:rFonts w:hint="eastAsia" w:ascii="黑体" w:hAnsi="黑体" w:eastAsia="黑体" w:cs="黑体"/>
        </w:rPr>
        <w:t>第十二条</w:t>
      </w:r>
      <w:r>
        <w:rPr>
          <w:rFonts w:hint="eastAsia"/>
        </w:rPr>
        <w:t xml:space="preserve"> 教</w:t>
      </w:r>
      <w:r>
        <w:rPr>
          <w:rFonts w:hint="eastAsia" w:ascii="仿宋_GB2312" w:hAnsi="仿宋_GB2312" w:eastAsia="仿宋_GB2312" w:cs="仿宋_GB2312"/>
        </w:rPr>
        <w:t>职工主持的省部级重点项目、国家级项目，超额完成当年科研工作量定额的，超额部分可以转入次年，转入的工作量不能超过次年科研工作量定额的30%。</w:t>
      </w:r>
    </w:p>
    <w:p>
      <w:pPr>
        <w:ind w:firstLine="640"/>
        <w:rPr>
          <w:rFonts w:hint="eastAsia" w:ascii="仿宋_GB2312" w:hAnsi="仿宋_GB2312" w:eastAsia="仿宋_GB2312" w:cs="仿宋_GB2312"/>
        </w:rPr>
      </w:pPr>
      <w:r>
        <w:rPr>
          <w:rFonts w:hint="eastAsia" w:ascii="黑体" w:hAnsi="黑体" w:eastAsia="黑体" w:cs="黑体"/>
        </w:rPr>
        <w:t>第十三条</w:t>
      </w:r>
      <w:r>
        <w:rPr>
          <w:rFonts w:hint="eastAsia"/>
        </w:rPr>
        <w:t xml:space="preserve"> </w:t>
      </w:r>
      <w:r>
        <w:rPr>
          <w:rFonts w:hint="eastAsia" w:ascii="仿宋_GB2312" w:hAnsi="仿宋_GB2312" w:eastAsia="仿宋_GB2312" w:cs="仿宋_GB2312"/>
        </w:rPr>
        <w:t>由于统计时间限制导致当年12月的科研成果出现未（漏）登记者，其工作量可在下一年度计算，但最多只能往前追溯一年。</w:t>
      </w:r>
    </w:p>
    <w:p>
      <w:pPr>
        <w:ind w:firstLine="640"/>
      </w:pPr>
      <w:r>
        <w:rPr>
          <w:rFonts w:hint="eastAsia" w:ascii="黑体" w:hAnsi="黑体" w:eastAsia="黑体" w:cs="黑体"/>
        </w:rPr>
        <w:t>第十四条</w:t>
      </w:r>
      <w:r>
        <w:rPr>
          <w:rFonts w:hint="eastAsia"/>
        </w:rPr>
        <w:t xml:space="preserve"> 科研工作量由二级单位认定，报科研处审核。</w:t>
      </w:r>
    </w:p>
    <w:p>
      <w:pPr>
        <w:ind w:firstLine="640"/>
      </w:pPr>
      <w:r>
        <w:rPr>
          <w:rFonts w:hint="eastAsia"/>
        </w:rPr>
        <w:t>关于科研项目、科研成果的认定，分别依照《北京青年政治学院科研项目管理办法》《北京青年政治学院科研成果管理办法》有关规定执行。</w:t>
      </w:r>
    </w:p>
    <w:p>
      <w:pPr>
        <w:ind w:firstLine="640"/>
      </w:pPr>
      <w:r>
        <w:rPr>
          <w:rFonts w:hint="eastAsia"/>
        </w:rPr>
        <w:t>教研项目及教研成果由教务处按规定认定，可冲抵科研工作量。</w:t>
      </w:r>
    </w:p>
    <w:p>
      <w:pPr>
        <w:adjustRightInd w:val="0"/>
        <w:snapToGrid w:val="0"/>
        <w:ind w:firstLine="0" w:firstLineChars="0"/>
        <w:jc w:val="center"/>
        <w:rPr>
          <w:rFonts w:ascii="黑体" w:hAnsi="黑体" w:eastAsia="黑体" w:cs="仿宋_GB2312"/>
          <w:color w:val="000000" w:themeColor="text1"/>
          <w:szCs w:val="32"/>
          <w14:textFill>
            <w14:solidFill>
              <w14:schemeClr w14:val="tx1"/>
            </w14:solidFill>
          </w14:textFill>
        </w:rPr>
      </w:pPr>
      <w:r>
        <w:rPr>
          <w:rFonts w:hint="eastAsia" w:ascii="黑体" w:hAnsi="黑体" w:eastAsia="黑体" w:cs="仿宋_GB2312"/>
          <w:color w:val="000000" w:themeColor="text1"/>
          <w:szCs w:val="32"/>
          <w14:textFill>
            <w14:solidFill>
              <w14:schemeClr w14:val="tx1"/>
            </w14:solidFill>
          </w14:textFill>
        </w:rPr>
        <w:t>第四章 考核程序</w:t>
      </w:r>
    </w:p>
    <w:p>
      <w:pPr>
        <w:ind w:firstLine="640"/>
      </w:pPr>
      <w:r>
        <w:rPr>
          <w:rFonts w:hint="eastAsia" w:ascii="黑体" w:hAnsi="黑体" w:eastAsia="黑体" w:cs="黑体"/>
        </w:rPr>
        <w:t>第十五条</w:t>
      </w:r>
      <w:r>
        <w:rPr>
          <w:rFonts w:hint="eastAsia"/>
        </w:rPr>
        <w:t xml:space="preserve"> 个人科研工作量统计。教职工个人应如实及时将从事科研活动的工作录入科研信息管理系统，连同相关资料的原件、复印件上交所在单位科研秘书。</w:t>
      </w:r>
    </w:p>
    <w:p>
      <w:pPr>
        <w:ind w:firstLine="640"/>
      </w:pPr>
      <w:r>
        <w:rPr>
          <w:rFonts w:hint="eastAsia" w:ascii="黑体" w:hAnsi="黑体" w:eastAsia="黑体" w:cs="黑体"/>
        </w:rPr>
        <w:t>第十六条</w:t>
      </w:r>
      <w:r>
        <w:rPr>
          <w:rFonts w:hint="eastAsia"/>
        </w:rPr>
        <w:t xml:space="preserve"> 部门科研工作量初核。科研秘书对教职工个人填报的科研信息相关材料进行初核、统计、汇总后，由部门主管科研领导签字盖章，将统计表和支撑材料原件及复印件送交科研处。</w:t>
      </w:r>
    </w:p>
    <w:p>
      <w:pPr>
        <w:ind w:firstLine="640"/>
      </w:pPr>
      <w:r>
        <w:rPr>
          <w:rFonts w:hint="eastAsia" w:ascii="黑体" w:hAnsi="黑体" w:eastAsia="黑体" w:cs="黑体"/>
        </w:rPr>
        <w:t>第十七条</w:t>
      </w:r>
      <w:r>
        <w:rPr>
          <w:rFonts w:hint="eastAsia"/>
        </w:rPr>
        <w:t xml:space="preserve"> 科研处复核及反馈。科研处对各部门教职工科研工作量进行复核，并将复核意见上报主管院领导。经主管院领导审查后，在一定范围内通报考核结果。</w:t>
      </w:r>
    </w:p>
    <w:p>
      <w:pPr>
        <w:adjustRightInd w:val="0"/>
        <w:snapToGrid w:val="0"/>
        <w:ind w:firstLine="0" w:firstLineChars="0"/>
        <w:jc w:val="center"/>
        <w:rPr>
          <w:rFonts w:ascii="黑体" w:hAnsi="黑体" w:eastAsia="黑体" w:cs="仿宋_GB2312"/>
          <w:color w:val="000000" w:themeColor="text1"/>
          <w:szCs w:val="32"/>
          <w14:textFill>
            <w14:solidFill>
              <w14:schemeClr w14:val="tx1"/>
            </w14:solidFill>
          </w14:textFill>
        </w:rPr>
      </w:pPr>
      <w:r>
        <w:rPr>
          <w:rFonts w:hint="eastAsia" w:ascii="黑体" w:hAnsi="黑体" w:eastAsia="黑体" w:cs="仿宋_GB2312"/>
          <w:color w:val="000000" w:themeColor="text1"/>
          <w:szCs w:val="32"/>
          <w14:textFill>
            <w14:solidFill>
              <w14:schemeClr w14:val="tx1"/>
            </w14:solidFill>
          </w14:textFill>
        </w:rPr>
        <w:t>第五章 考核应用</w:t>
      </w:r>
    </w:p>
    <w:p>
      <w:pPr>
        <w:ind w:firstLine="640"/>
      </w:pPr>
      <w:r>
        <w:rPr>
          <w:rFonts w:hint="eastAsia" w:ascii="黑体" w:hAnsi="黑体" w:eastAsia="黑体" w:cs="黑体"/>
        </w:rPr>
        <w:t>第十八条</w:t>
      </w:r>
      <w:r>
        <w:rPr>
          <w:rFonts w:hint="eastAsia"/>
        </w:rPr>
        <w:t xml:space="preserve"> 教职工科研工作量考核结果是年度考核、职务晋升、专业技术职务评聘、岗位晋级、评优评先以及绩效工资发放的重要依据。</w:t>
      </w:r>
    </w:p>
    <w:p>
      <w:pPr>
        <w:ind w:firstLine="640"/>
      </w:pPr>
      <w:r>
        <w:rPr>
          <w:rFonts w:hint="eastAsia" w:ascii="黑体" w:hAnsi="黑体" w:eastAsia="黑体" w:cs="黑体"/>
        </w:rPr>
        <w:t>第十九条</w:t>
      </w:r>
      <w:r>
        <w:rPr>
          <w:rFonts w:hint="eastAsia"/>
        </w:rPr>
        <w:t xml:space="preserve"> 在科研工作考核中，教职工存在下列行为之一的各级各类专业技术人员，直接确定为不合格：违反学术道德和学术规范问题等科研管理制度，情节严重；在科研统计与考核中，弄虚作假。</w:t>
      </w:r>
    </w:p>
    <w:p>
      <w:pPr>
        <w:ind w:firstLine="640"/>
      </w:pPr>
      <w:r>
        <w:rPr>
          <w:rFonts w:hint="eastAsia" w:ascii="黑体" w:hAnsi="黑体" w:eastAsia="黑体" w:cs="黑体"/>
        </w:rPr>
        <w:t>第二十条</w:t>
      </w:r>
      <w:r>
        <w:rPr>
          <w:rFonts w:hint="eastAsia"/>
        </w:rPr>
        <w:t xml:space="preserve"> 教学型教师和科研服务型教师年度科研工作量中没有主持科研项目或者当年取得科研成果的，年度考核不能评为优秀。</w:t>
      </w:r>
    </w:p>
    <w:p>
      <w:pPr>
        <w:adjustRightInd w:val="0"/>
        <w:snapToGrid w:val="0"/>
        <w:spacing w:line="360" w:lineRule="auto"/>
        <w:ind w:firstLine="640"/>
        <w:rPr>
          <w:rFonts w:ascii="仿宋_GB2312" w:hAnsi="宋体"/>
          <w:color w:val="000000" w:themeColor="text1"/>
          <w:kern w:val="0"/>
          <w:szCs w:val="32"/>
          <w14:textFill>
            <w14:solidFill>
              <w14:schemeClr w14:val="tx1"/>
            </w14:solidFill>
          </w14:textFill>
        </w:rPr>
      </w:pPr>
    </w:p>
    <w:p>
      <w:pPr>
        <w:adjustRightInd w:val="0"/>
        <w:snapToGrid w:val="0"/>
        <w:spacing w:line="360" w:lineRule="auto"/>
        <w:ind w:firstLine="640"/>
        <w:rPr>
          <w:rFonts w:ascii="仿宋_GB2312" w:hAnsi="宋体"/>
          <w:color w:val="000000" w:themeColor="text1"/>
          <w:kern w:val="0"/>
          <w:szCs w:val="32"/>
          <w14:textFill>
            <w14:solidFill>
              <w14:schemeClr w14:val="tx1"/>
            </w14:solidFill>
          </w14:textFill>
        </w:rPr>
      </w:pPr>
    </w:p>
    <w:p>
      <w:pPr>
        <w:adjustRightInd w:val="0"/>
        <w:snapToGrid w:val="0"/>
        <w:spacing w:line="360" w:lineRule="auto"/>
        <w:ind w:firstLine="640"/>
        <w:rPr>
          <w:rFonts w:ascii="仿宋_GB2312" w:hAnsi="宋体"/>
          <w:color w:val="000000" w:themeColor="text1"/>
          <w:kern w:val="0"/>
          <w:szCs w:val="32"/>
          <w14:textFill>
            <w14:solidFill>
              <w14:schemeClr w14:val="tx1"/>
            </w14:solidFill>
          </w14:textFill>
        </w:rPr>
      </w:pPr>
    </w:p>
    <w:p>
      <w:pPr>
        <w:adjustRightInd w:val="0"/>
        <w:snapToGrid w:val="0"/>
        <w:spacing w:line="360" w:lineRule="auto"/>
        <w:ind w:firstLine="640"/>
        <w:rPr>
          <w:rFonts w:ascii="仿宋_GB2312" w:hAnsi="宋体"/>
          <w:color w:val="000000" w:themeColor="text1"/>
          <w:kern w:val="0"/>
          <w:szCs w:val="32"/>
          <w14:textFill>
            <w14:solidFill>
              <w14:schemeClr w14:val="tx1"/>
            </w14:solidFill>
          </w14:textFill>
        </w:rPr>
      </w:pPr>
    </w:p>
    <w:p>
      <w:pPr>
        <w:adjustRightInd w:val="0"/>
        <w:snapToGrid w:val="0"/>
        <w:spacing w:line="360" w:lineRule="auto"/>
        <w:ind w:firstLine="640"/>
        <w:rPr>
          <w:rFonts w:ascii="仿宋_GB2312" w:cs="仿宋_GB2312"/>
          <w:color w:val="000000" w:themeColor="text1"/>
          <w:szCs w:val="32"/>
          <w14:textFill>
            <w14:solidFill>
              <w14:schemeClr w14:val="tx1"/>
            </w14:solidFill>
          </w14:textFill>
        </w:rPr>
      </w:pPr>
    </w:p>
    <w:p>
      <w:pPr>
        <w:widowControl/>
        <w:snapToGrid w:val="0"/>
        <w:spacing w:line="360" w:lineRule="auto"/>
        <w:ind w:firstLine="482"/>
        <w:jc w:val="center"/>
        <w:rPr>
          <w:rFonts w:ascii="仿宋_GB2312" w:cs="仿宋_GB2312"/>
          <w:b/>
          <w:color w:val="000000" w:themeColor="text1"/>
          <w:sz w:val="24"/>
          <w14:textFill>
            <w14:solidFill>
              <w14:schemeClr w14:val="tx1"/>
            </w14:solidFill>
          </w14:textFill>
        </w:rPr>
      </w:pPr>
    </w:p>
    <w:p>
      <w:pPr>
        <w:widowControl/>
        <w:snapToGrid w:val="0"/>
        <w:spacing w:line="360" w:lineRule="auto"/>
        <w:ind w:firstLine="562"/>
        <w:jc w:val="center"/>
        <w:rPr>
          <w:rFonts w:ascii="仿宋_GB2312" w:cs="仿宋_GB2312"/>
          <w:b/>
          <w:color w:val="000000" w:themeColor="text1"/>
          <w:sz w:val="28"/>
          <w:szCs w:val="28"/>
          <w14:textFill>
            <w14:solidFill>
              <w14:schemeClr w14:val="tx1"/>
            </w14:solidFill>
          </w14:textFill>
        </w:rPr>
      </w:pPr>
      <w:r>
        <w:rPr>
          <w:rFonts w:hint="eastAsia" w:ascii="仿宋_GB2312" w:cs="仿宋_GB2312"/>
          <w:b/>
          <w:color w:val="000000" w:themeColor="text1"/>
          <w:sz w:val="28"/>
          <w:szCs w:val="28"/>
          <w14:textFill>
            <w14:solidFill>
              <w14:schemeClr w14:val="tx1"/>
            </w14:solidFill>
          </w14:textFill>
        </w:rPr>
        <w:t>附表1：各级各类专业技术人员年度科研工作量基本定额（单位：分）</w:t>
      </w:r>
    </w:p>
    <w:tbl>
      <w:tblPr>
        <w:tblStyle w:val="15"/>
        <w:tblW w:w="8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8"/>
        <w:gridCol w:w="992"/>
        <w:gridCol w:w="1276"/>
        <w:gridCol w:w="992"/>
        <w:gridCol w:w="1276"/>
        <w:gridCol w:w="709"/>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98" w:type="dxa"/>
            <w:vMerge w:val="restart"/>
            <w:tcBorders>
              <w:tl2br w:val="single" w:color="auto" w:sz="4" w:space="0"/>
            </w:tcBorders>
            <w:vAlign w:val="center"/>
          </w:tcPr>
          <w:p>
            <w:pPr>
              <w:spacing w:line="360" w:lineRule="auto"/>
              <w:ind w:right="-160" w:rightChars="-50" w:firstLine="1205" w:firstLineChars="500"/>
              <w:jc w:val="left"/>
              <w:rPr>
                <w:rFonts w:ascii="仿宋_GB2312" w:hAnsi="宋体"/>
                <w:b/>
                <w:color w:val="000000" w:themeColor="text1"/>
                <w:sz w:val="24"/>
                <w14:textFill>
                  <w14:solidFill>
                    <w14:schemeClr w14:val="tx1"/>
                  </w14:solidFill>
                </w14:textFill>
              </w:rPr>
            </w:pPr>
            <w:r>
              <w:rPr>
                <w:rFonts w:hint="eastAsia" w:ascii="仿宋_GB2312" w:hAnsi="宋体"/>
                <w:b/>
                <w:color w:val="000000" w:themeColor="text1"/>
                <w:sz w:val="24"/>
                <w14:textFill>
                  <w14:solidFill>
                    <w14:schemeClr w14:val="tx1"/>
                  </w14:solidFill>
                </w14:textFill>
              </w:rPr>
              <w:t>职称</w:t>
            </w:r>
          </w:p>
          <w:p>
            <w:pPr>
              <w:spacing w:line="360" w:lineRule="auto"/>
              <w:ind w:firstLine="0" w:firstLineChars="0"/>
              <w:jc w:val="left"/>
              <w:rPr>
                <w:rFonts w:ascii="仿宋_GB2312" w:hAnsi="宋体"/>
                <w:color w:val="000000" w:themeColor="text1"/>
                <w:szCs w:val="32"/>
                <w14:textFill>
                  <w14:solidFill>
                    <w14:schemeClr w14:val="tx1"/>
                  </w14:solidFill>
                </w14:textFill>
              </w:rPr>
            </w:pPr>
            <w:r>
              <w:rPr>
                <w:rFonts w:hint="eastAsia" w:ascii="仿宋_GB2312" w:hAnsi="宋体"/>
                <w:b/>
                <w:color w:val="000000" w:themeColor="text1"/>
                <w:sz w:val="24"/>
                <w14:textFill>
                  <w14:solidFill>
                    <w14:schemeClr w14:val="tx1"/>
                  </w14:solidFill>
                </w14:textFill>
              </w:rPr>
              <w:t>人员类别</w:t>
            </w:r>
          </w:p>
        </w:tc>
        <w:tc>
          <w:tcPr>
            <w:tcW w:w="2268" w:type="dxa"/>
            <w:gridSpan w:val="2"/>
            <w:tcBorders>
              <w:bottom w:val="single" w:color="auto" w:sz="4" w:space="0"/>
            </w:tcBorders>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正高级</w:t>
            </w:r>
          </w:p>
        </w:tc>
        <w:tc>
          <w:tcPr>
            <w:tcW w:w="2268" w:type="dxa"/>
            <w:gridSpan w:val="2"/>
            <w:tcBorders>
              <w:bottom w:val="single" w:color="auto" w:sz="4" w:space="0"/>
            </w:tcBorders>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副高级</w:t>
            </w:r>
          </w:p>
        </w:tc>
        <w:tc>
          <w:tcPr>
            <w:tcW w:w="709" w:type="dxa"/>
            <w:vMerge w:val="restart"/>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中级</w:t>
            </w:r>
          </w:p>
        </w:tc>
        <w:tc>
          <w:tcPr>
            <w:tcW w:w="708" w:type="dxa"/>
            <w:vMerge w:val="restart"/>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初级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98" w:type="dxa"/>
            <w:vMerge w:val="continue"/>
            <w:tcBorders>
              <w:bottom w:val="single" w:color="auto" w:sz="4" w:space="0"/>
              <w:tl2br w:val="single" w:color="auto" w:sz="4" w:space="0"/>
            </w:tcBorders>
            <w:vAlign w:val="center"/>
          </w:tcPr>
          <w:p>
            <w:pPr>
              <w:spacing w:line="360" w:lineRule="auto"/>
              <w:ind w:right="-160" w:rightChars="-50" w:firstLine="0" w:firstLineChars="0"/>
              <w:jc w:val="right"/>
              <w:rPr>
                <w:rFonts w:ascii="仿宋_GB2312" w:hAnsi="宋体"/>
                <w:color w:val="000000" w:themeColor="text1"/>
                <w:sz w:val="24"/>
                <w14:textFill>
                  <w14:solidFill>
                    <w14:schemeClr w14:val="tx1"/>
                  </w14:solidFill>
                </w14:textFill>
              </w:rPr>
            </w:pPr>
          </w:p>
        </w:tc>
        <w:tc>
          <w:tcPr>
            <w:tcW w:w="992" w:type="dxa"/>
            <w:tcBorders>
              <w:bottom w:val="single" w:color="auto" w:sz="4" w:space="0"/>
            </w:tcBorders>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总分值</w:t>
            </w:r>
          </w:p>
        </w:tc>
        <w:tc>
          <w:tcPr>
            <w:tcW w:w="1276" w:type="dxa"/>
            <w:tcBorders>
              <w:bottom w:val="single" w:color="auto" w:sz="4" w:space="0"/>
            </w:tcBorders>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其中</w:t>
            </w:r>
          </w:p>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质量分值</w:t>
            </w:r>
          </w:p>
        </w:tc>
        <w:tc>
          <w:tcPr>
            <w:tcW w:w="992" w:type="dxa"/>
            <w:tcBorders>
              <w:bottom w:val="single" w:color="auto" w:sz="4" w:space="0"/>
            </w:tcBorders>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总分值</w:t>
            </w:r>
          </w:p>
        </w:tc>
        <w:tc>
          <w:tcPr>
            <w:tcW w:w="1276" w:type="dxa"/>
            <w:tcBorders>
              <w:bottom w:val="single" w:color="auto" w:sz="4" w:space="0"/>
            </w:tcBorders>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其中</w:t>
            </w:r>
          </w:p>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质量分值</w:t>
            </w:r>
          </w:p>
        </w:tc>
        <w:tc>
          <w:tcPr>
            <w:tcW w:w="709" w:type="dxa"/>
            <w:vMerge w:val="continue"/>
            <w:tcBorders>
              <w:bottom w:val="single" w:color="auto" w:sz="4" w:space="0"/>
            </w:tcBorders>
            <w:vAlign w:val="center"/>
          </w:tcPr>
          <w:p>
            <w:pPr>
              <w:spacing w:line="360" w:lineRule="auto"/>
              <w:ind w:firstLine="0" w:firstLineChars="0"/>
              <w:jc w:val="center"/>
              <w:rPr>
                <w:rFonts w:ascii="仿宋_GB2312" w:hAnsi="宋体"/>
                <w:color w:val="000000" w:themeColor="text1"/>
                <w:sz w:val="28"/>
                <w:szCs w:val="28"/>
                <w14:textFill>
                  <w14:solidFill>
                    <w14:schemeClr w14:val="tx1"/>
                  </w14:solidFill>
                </w14:textFill>
              </w:rPr>
            </w:pPr>
          </w:p>
        </w:tc>
        <w:tc>
          <w:tcPr>
            <w:tcW w:w="708" w:type="dxa"/>
            <w:vMerge w:val="continue"/>
            <w:tcBorders>
              <w:bottom w:val="single" w:color="auto" w:sz="4" w:space="0"/>
            </w:tcBorders>
            <w:vAlign w:val="center"/>
          </w:tcPr>
          <w:p>
            <w:pPr>
              <w:spacing w:line="360" w:lineRule="auto"/>
              <w:ind w:firstLine="0" w:firstLineChars="0"/>
              <w:jc w:val="center"/>
              <w:rPr>
                <w:rFonts w:ascii="仿宋_GB2312"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98" w:type="dxa"/>
            <w:vAlign w:val="center"/>
          </w:tcPr>
          <w:p>
            <w:pPr>
              <w:spacing w:line="360" w:lineRule="auto"/>
              <w:ind w:firstLine="0" w:firstLineChars="0"/>
              <w:jc w:val="center"/>
              <w:rPr>
                <w:rFonts w:ascii="仿宋_GB2312" w:hAnsi="宋体"/>
                <w:b/>
                <w:color w:val="000000" w:themeColor="text1"/>
                <w:sz w:val="24"/>
                <w14:textFill>
                  <w14:solidFill>
                    <w14:schemeClr w14:val="tx1"/>
                  </w14:solidFill>
                </w14:textFill>
              </w:rPr>
            </w:pPr>
            <w:r>
              <w:rPr>
                <w:rFonts w:hint="eastAsia" w:ascii="仿宋_GB2312" w:hAnsi="宋体"/>
                <w:b/>
                <w:color w:val="000000" w:themeColor="text1"/>
                <w:sz w:val="24"/>
                <w14:textFill>
                  <w14:solidFill>
                    <w14:schemeClr w14:val="tx1"/>
                  </w14:solidFill>
                </w14:textFill>
              </w:rPr>
              <w:t>教学型教师</w:t>
            </w:r>
          </w:p>
        </w:tc>
        <w:tc>
          <w:tcPr>
            <w:tcW w:w="992"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100</w:t>
            </w:r>
          </w:p>
        </w:tc>
        <w:tc>
          <w:tcPr>
            <w:tcW w:w="1276"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w:t>
            </w:r>
          </w:p>
        </w:tc>
        <w:tc>
          <w:tcPr>
            <w:tcW w:w="992"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60</w:t>
            </w:r>
          </w:p>
        </w:tc>
        <w:tc>
          <w:tcPr>
            <w:tcW w:w="1276"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w:t>
            </w:r>
          </w:p>
        </w:tc>
        <w:tc>
          <w:tcPr>
            <w:tcW w:w="709"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20</w:t>
            </w:r>
          </w:p>
        </w:tc>
        <w:tc>
          <w:tcPr>
            <w:tcW w:w="708"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98" w:type="dxa"/>
            <w:vAlign w:val="center"/>
          </w:tcPr>
          <w:p>
            <w:pPr>
              <w:spacing w:line="360" w:lineRule="auto"/>
              <w:ind w:firstLine="0" w:firstLineChars="0"/>
              <w:jc w:val="center"/>
              <w:rPr>
                <w:rFonts w:ascii="仿宋_GB2312" w:hAnsi="宋体"/>
                <w:b/>
                <w:color w:val="000000" w:themeColor="text1"/>
                <w:sz w:val="24"/>
                <w14:textFill>
                  <w14:solidFill>
                    <w14:schemeClr w14:val="tx1"/>
                  </w14:solidFill>
                </w14:textFill>
              </w:rPr>
            </w:pPr>
            <w:r>
              <w:rPr>
                <w:rFonts w:hint="eastAsia" w:ascii="仿宋_GB2312" w:hAnsi="宋体"/>
                <w:b/>
                <w:color w:val="000000" w:themeColor="text1"/>
                <w:sz w:val="24"/>
                <w14:textFill>
                  <w14:solidFill>
                    <w14:schemeClr w14:val="tx1"/>
                  </w14:solidFill>
                </w14:textFill>
              </w:rPr>
              <w:t>科研服务型教师</w:t>
            </w:r>
          </w:p>
        </w:tc>
        <w:tc>
          <w:tcPr>
            <w:tcW w:w="992"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200</w:t>
            </w:r>
          </w:p>
        </w:tc>
        <w:tc>
          <w:tcPr>
            <w:tcW w:w="1276"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100</w:t>
            </w:r>
          </w:p>
        </w:tc>
        <w:tc>
          <w:tcPr>
            <w:tcW w:w="992"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120</w:t>
            </w:r>
          </w:p>
        </w:tc>
        <w:tc>
          <w:tcPr>
            <w:tcW w:w="1276"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60</w:t>
            </w:r>
          </w:p>
        </w:tc>
        <w:tc>
          <w:tcPr>
            <w:tcW w:w="709"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40</w:t>
            </w:r>
          </w:p>
        </w:tc>
        <w:tc>
          <w:tcPr>
            <w:tcW w:w="708"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2098" w:type="dxa"/>
            <w:vAlign w:val="center"/>
          </w:tcPr>
          <w:p>
            <w:pPr>
              <w:spacing w:line="360" w:lineRule="auto"/>
              <w:ind w:firstLine="0" w:firstLineChars="0"/>
              <w:jc w:val="center"/>
              <w:rPr>
                <w:rFonts w:ascii="仿宋_GB2312" w:hAnsi="宋体"/>
                <w:b/>
                <w:color w:val="000000" w:themeColor="text1"/>
                <w:sz w:val="24"/>
                <w14:textFill>
                  <w14:solidFill>
                    <w14:schemeClr w14:val="tx1"/>
                  </w14:solidFill>
                </w14:textFill>
              </w:rPr>
            </w:pPr>
            <w:r>
              <w:rPr>
                <w:rFonts w:hint="eastAsia" w:ascii="仿宋_GB2312" w:hAnsi="宋体"/>
                <w:b/>
                <w:color w:val="000000" w:themeColor="text1"/>
                <w:sz w:val="24"/>
                <w14:textFill>
                  <w14:solidFill>
                    <w14:schemeClr w14:val="tx1"/>
                  </w14:solidFill>
                </w14:textFill>
              </w:rPr>
              <w:t>其他专业技术人员（不在上述范围的专业技术人员）</w:t>
            </w:r>
          </w:p>
        </w:tc>
        <w:tc>
          <w:tcPr>
            <w:tcW w:w="992"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50</w:t>
            </w:r>
          </w:p>
        </w:tc>
        <w:tc>
          <w:tcPr>
            <w:tcW w:w="1276"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w:t>
            </w:r>
          </w:p>
        </w:tc>
        <w:tc>
          <w:tcPr>
            <w:tcW w:w="992"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30</w:t>
            </w:r>
          </w:p>
        </w:tc>
        <w:tc>
          <w:tcPr>
            <w:tcW w:w="1276"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w:t>
            </w:r>
          </w:p>
        </w:tc>
        <w:tc>
          <w:tcPr>
            <w:tcW w:w="709"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10</w:t>
            </w:r>
          </w:p>
        </w:tc>
        <w:tc>
          <w:tcPr>
            <w:tcW w:w="708" w:type="dxa"/>
            <w:vAlign w:val="center"/>
          </w:tcPr>
          <w:p>
            <w:pPr>
              <w:spacing w:line="360" w:lineRule="auto"/>
              <w:ind w:firstLine="0" w:firstLineChars="0"/>
              <w:jc w:val="center"/>
              <w:rPr>
                <w:rFonts w:ascii="仿宋_GB2312" w:hAnsi="宋体"/>
                <w:color w:val="000000" w:themeColor="text1"/>
                <w:sz w:val="24"/>
                <w14:textFill>
                  <w14:solidFill>
                    <w14:schemeClr w14:val="tx1"/>
                  </w14:solidFill>
                </w14:textFill>
              </w:rPr>
            </w:pPr>
            <w:r>
              <w:rPr>
                <w:rFonts w:hint="eastAsia" w:ascii="仿宋_GB2312" w:hAnsi="宋体"/>
                <w:color w:val="000000" w:themeColor="text1"/>
                <w:sz w:val="24"/>
                <w14:textFill>
                  <w14:solidFill>
                    <w14:schemeClr w14:val="tx1"/>
                  </w14:solidFill>
                </w14:textFill>
              </w:rPr>
              <w:t>5</w:t>
            </w:r>
          </w:p>
        </w:tc>
      </w:tr>
    </w:tbl>
    <w:p>
      <w:pPr>
        <w:adjustRightInd w:val="0"/>
        <w:snapToGrid w:val="0"/>
        <w:spacing w:line="360" w:lineRule="auto"/>
        <w:ind w:firstLine="643"/>
        <w:rPr>
          <w:rFonts w:ascii="仿宋_GB2312" w:cs="仿宋_GB2312"/>
          <w:b/>
          <w:color w:val="000000" w:themeColor="text1"/>
          <w:szCs w:val="32"/>
          <w14:textFill>
            <w14:solidFill>
              <w14:schemeClr w14:val="tx1"/>
            </w14:solidFill>
          </w14:textFill>
        </w:rPr>
      </w:pPr>
    </w:p>
    <w:p>
      <w:pPr>
        <w:widowControl/>
        <w:ind w:firstLine="643"/>
        <w:jc w:val="left"/>
        <w:rPr>
          <w:rFonts w:ascii="仿宋_GB2312" w:hAnsi="宋体"/>
          <w:b/>
          <w:bCs/>
          <w:color w:val="000000" w:themeColor="text1"/>
          <w:kern w:val="0"/>
          <w:szCs w:val="32"/>
          <w14:textFill>
            <w14:solidFill>
              <w14:schemeClr w14:val="tx1"/>
            </w14:solidFill>
          </w14:textFill>
        </w:rPr>
        <w:sectPr>
          <w:footerReference r:id="rId9" w:type="default"/>
          <w:pgSz w:w="11906" w:h="16838"/>
          <w:pgMar w:top="2098" w:right="1474" w:bottom="1984" w:left="1587" w:header="851" w:footer="992" w:gutter="0"/>
          <w:pgNumType w:fmt="decimal"/>
          <w:cols w:space="425" w:num="1"/>
          <w:docGrid w:type="lines" w:linePitch="312" w:charSpace="0"/>
        </w:sectPr>
      </w:pPr>
      <w:r>
        <w:rPr>
          <w:rFonts w:ascii="仿宋_GB2312" w:hAnsi="宋体"/>
          <w:b/>
          <w:bCs/>
          <w:color w:val="000000" w:themeColor="text1"/>
          <w:kern w:val="0"/>
          <w:szCs w:val="32"/>
          <w14:textFill>
            <w14:solidFill>
              <w14:schemeClr w14:val="tx1"/>
            </w14:solidFill>
          </w14:textFill>
        </w:rPr>
        <w:br w:type="page"/>
      </w:r>
    </w:p>
    <w:p>
      <w:pPr>
        <w:widowControl/>
        <w:snapToGrid w:val="0"/>
        <w:spacing w:line="360" w:lineRule="auto"/>
        <w:ind w:firstLine="0" w:firstLineChars="0"/>
        <w:jc w:val="center"/>
        <w:rPr>
          <w:rFonts w:ascii="仿宋_GB2312" w:cs="仿宋_GB2312"/>
          <w:b/>
          <w:color w:val="000000" w:themeColor="text1"/>
          <w:sz w:val="28"/>
          <w:szCs w:val="28"/>
          <w14:textFill>
            <w14:solidFill>
              <w14:schemeClr w14:val="tx1"/>
            </w14:solidFill>
          </w14:textFill>
        </w:rPr>
      </w:pPr>
      <w:r>
        <w:rPr>
          <w:rFonts w:hint="eastAsia" w:ascii="仿宋_GB2312" w:cs="仿宋_GB2312"/>
          <w:b/>
          <w:color w:val="000000" w:themeColor="text1"/>
          <w:sz w:val="28"/>
          <w:szCs w:val="28"/>
          <w14:textFill>
            <w14:solidFill>
              <w14:schemeClr w14:val="tx1"/>
            </w14:solidFill>
          </w14:textFill>
        </w:rPr>
        <w:t>附表2：科研工作量计分标准（单位：分）</w:t>
      </w:r>
    </w:p>
    <w:tbl>
      <w:tblPr>
        <w:tblStyle w:val="15"/>
        <w:tblpPr w:leftFromText="180" w:rightFromText="180" w:vertAnchor="text" w:horzAnchor="page" w:tblpXSpec="center" w:tblpY="450"/>
        <w:tblOverlap w:val="never"/>
        <w:tblW w:w="9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600"/>
        <w:gridCol w:w="804"/>
        <w:gridCol w:w="630"/>
        <w:gridCol w:w="321"/>
        <w:gridCol w:w="369"/>
        <w:gridCol w:w="435"/>
        <w:gridCol w:w="210"/>
        <w:gridCol w:w="345"/>
        <w:gridCol w:w="15"/>
        <w:gridCol w:w="795"/>
        <w:gridCol w:w="548"/>
        <w:gridCol w:w="3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70" w:type="dxa"/>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序号</w:t>
            </w:r>
          </w:p>
        </w:tc>
        <w:tc>
          <w:tcPr>
            <w:tcW w:w="1404" w:type="dxa"/>
            <w:gridSpan w:val="2"/>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类别</w:t>
            </w:r>
          </w:p>
        </w:tc>
        <w:tc>
          <w:tcPr>
            <w:tcW w:w="3668" w:type="dxa"/>
            <w:gridSpan w:val="9"/>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级别及计分</w:t>
            </w:r>
          </w:p>
        </w:tc>
        <w:tc>
          <w:tcPr>
            <w:tcW w:w="3704" w:type="dxa"/>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restart"/>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1</w:t>
            </w:r>
          </w:p>
        </w:tc>
        <w:tc>
          <w:tcPr>
            <w:tcW w:w="600" w:type="dxa"/>
            <w:vMerge w:val="restart"/>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科研</w:t>
            </w:r>
          </w:p>
          <w:p>
            <w:pPr>
              <w:spacing w:line="420" w:lineRule="exact"/>
              <w:ind w:firstLine="0" w:firstLineChars="0"/>
              <w:jc w:val="center"/>
              <w:rPr>
                <w:rFonts w:ascii="仿宋_GB2312" w:hAnsi="宋体"/>
                <w:b/>
                <w:color w:val="000000" w:themeColor="text1"/>
                <w:sz w:val="28"/>
                <w:szCs w:val="20"/>
                <w:shd w:val="pct10" w:color="auto" w:fill="FFFFFF"/>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项目</w:t>
            </w:r>
          </w:p>
        </w:tc>
        <w:tc>
          <w:tcPr>
            <w:tcW w:w="804" w:type="dxa"/>
            <w:vMerge w:val="restart"/>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各级项目</w:t>
            </w:r>
          </w:p>
        </w:tc>
        <w:tc>
          <w:tcPr>
            <w:tcW w:w="951"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项目等级</w:t>
            </w:r>
          </w:p>
        </w:tc>
        <w:tc>
          <w:tcPr>
            <w:tcW w:w="804"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国家级</w:t>
            </w:r>
          </w:p>
        </w:tc>
        <w:tc>
          <w:tcPr>
            <w:tcW w:w="555"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省部级</w:t>
            </w:r>
          </w:p>
        </w:tc>
        <w:tc>
          <w:tcPr>
            <w:tcW w:w="810"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厅局级</w:t>
            </w:r>
          </w:p>
        </w:tc>
        <w:tc>
          <w:tcPr>
            <w:tcW w:w="548" w:type="dxa"/>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校级</w:t>
            </w:r>
          </w:p>
        </w:tc>
        <w:tc>
          <w:tcPr>
            <w:tcW w:w="3704" w:type="dxa"/>
            <w:vMerge w:val="restart"/>
            <w:vAlign w:val="center"/>
          </w:tcPr>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1.项目申报、项目结题、横向项目、校级项目只给项目负责人计分。</w:t>
            </w:r>
          </w:p>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2.项目如当年批准立项，申报则不计分。</w:t>
            </w:r>
          </w:p>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3.获准立项的项目分值项目负责人按100%计算，其他参与人分值由负责人另按100%分配。</w:t>
            </w:r>
          </w:p>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ascii="仿宋_GB2312" w:hAnsi="宋体"/>
                <w:color w:val="000000" w:themeColor="text1"/>
                <w:sz w:val="28"/>
                <w:szCs w:val="20"/>
                <w14:textFill>
                  <w14:solidFill>
                    <w14:schemeClr w14:val="tx1"/>
                  </w14:solidFill>
                </w14:textFill>
              </w:rPr>
              <w:t>4</w:t>
            </w:r>
            <w:r>
              <w:rPr>
                <w:rFonts w:hint="eastAsia" w:ascii="仿宋_GB2312" w:hAnsi="宋体"/>
                <w:color w:val="000000" w:themeColor="text1"/>
                <w:sz w:val="28"/>
                <w:szCs w:val="20"/>
                <w14:textFill>
                  <w14:solidFill>
                    <w14:schemeClr w14:val="tx1"/>
                  </w14:solidFill>
                </w14:textFill>
              </w:rPr>
              <w:t>.横向项目按到账经费30分/万元计分。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2"/>
                <w:szCs w:val="20"/>
                <w:shd w:val="pct10" w:color="auto" w:fill="FFFFFF"/>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shd w:val="pct10" w:color="auto" w:fill="FFFFFF"/>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951"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重点项目</w:t>
            </w:r>
          </w:p>
        </w:tc>
        <w:tc>
          <w:tcPr>
            <w:tcW w:w="804"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800</w:t>
            </w:r>
          </w:p>
        </w:tc>
        <w:tc>
          <w:tcPr>
            <w:tcW w:w="555"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360</w:t>
            </w:r>
          </w:p>
        </w:tc>
        <w:tc>
          <w:tcPr>
            <w:tcW w:w="810"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200</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80</w:t>
            </w:r>
          </w:p>
        </w:tc>
        <w:tc>
          <w:tcPr>
            <w:tcW w:w="3704" w:type="dxa"/>
            <w:vMerge w:val="continue"/>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2"/>
                <w:szCs w:val="20"/>
                <w:shd w:val="pct10" w:color="auto" w:fill="FFFFFF"/>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shd w:val="pct10" w:color="auto" w:fill="FFFFFF"/>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951"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一般项目</w:t>
            </w:r>
          </w:p>
        </w:tc>
        <w:tc>
          <w:tcPr>
            <w:tcW w:w="804"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400</w:t>
            </w:r>
          </w:p>
        </w:tc>
        <w:tc>
          <w:tcPr>
            <w:tcW w:w="555"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300</w:t>
            </w:r>
          </w:p>
        </w:tc>
        <w:tc>
          <w:tcPr>
            <w:tcW w:w="810"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160</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40</w:t>
            </w:r>
          </w:p>
        </w:tc>
        <w:tc>
          <w:tcPr>
            <w:tcW w:w="3704" w:type="dxa"/>
            <w:vMerge w:val="continue"/>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2"/>
                <w:szCs w:val="20"/>
                <w:shd w:val="pct10" w:color="auto" w:fill="FFFFFF"/>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shd w:val="pct10" w:color="auto" w:fill="FFFFFF"/>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951"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其他项目</w:t>
            </w:r>
          </w:p>
        </w:tc>
        <w:tc>
          <w:tcPr>
            <w:tcW w:w="804"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360</w:t>
            </w:r>
          </w:p>
        </w:tc>
        <w:tc>
          <w:tcPr>
            <w:tcW w:w="555"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260</w:t>
            </w:r>
          </w:p>
        </w:tc>
        <w:tc>
          <w:tcPr>
            <w:tcW w:w="810"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100</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40</w:t>
            </w:r>
          </w:p>
        </w:tc>
        <w:tc>
          <w:tcPr>
            <w:tcW w:w="3704" w:type="dxa"/>
            <w:vMerge w:val="continue"/>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2"/>
                <w:szCs w:val="20"/>
                <w:shd w:val="pct10" w:color="auto" w:fill="FFFFFF"/>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shd w:val="pct10" w:color="auto" w:fill="FFFFFF"/>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951"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项目申报</w:t>
            </w:r>
          </w:p>
        </w:tc>
        <w:tc>
          <w:tcPr>
            <w:tcW w:w="804"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60</w:t>
            </w:r>
          </w:p>
        </w:tc>
        <w:tc>
          <w:tcPr>
            <w:tcW w:w="555"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50</w:t>
            </w:r>
          </w:p>
        </w:tc>
        <w:tc>
          <w:tcPr>
            <w:tcW w:w="810"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w:t>
            </w:r>
          </w:p>
        </w:tc>
        <w:tc>
          <w:tcPr>
            <w:tcW w:w="3704" w:type="dxa"/>
            <w:vMerge w:val="continue"/>
            <w:vAlign w:val="center"/>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2"/>
                <w:szCs w:val="20"/>
                <w:shd w:val="pct10" w:color="auto" w:fill="FFFFFF"/>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shd w:val="pct10" w:color="auto" w:fill="FFFFFF"/>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951"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项目结题</w:t>
            </w:r>
          </w:p>
        </w:tc>
        <w:tc>
          <w:tcPr>
            <w:tcW w:w="804"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150</w:t>
            </w:r>
          </w:p>
        </w:tc>
        <w:tc>
          <w:tcPr>
            <w:tcW w:w="555"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100</w:t>
            </w:r>
          </w:p>
        </w:tc>
        <w:tc>
          <w:tcPr>
            <w:tcW w:w="810"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50</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w:t>
            </w:r>
          </w:p>
        </w:tc>
        <w:tc>
          <w:tcPr>
            <w:tcW w:w="3704" w:type="dxa"/>
            <w:vMerge w:val="continue"/>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2"/>
                <w:szCs w:val="20"/>
                <w:shd w:val="pct10" w:color="auto" w:fill="FFFFFF"/>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shd w:val="pct10" w:color="auto" w:fill="FFFFFF"/>
                <w14:textFill>
                  <w14:solidFill>
                    <w14:schemeClr w14:val="tx1"/>
                  </w14:solidFill>
                </w14:textFill>
              </w:rPr>
            </w:pPr>
          </w:p>
        </w:tc>
        <w:tc>
          <w:tcPr>
            <w:tcW w:w="804" w:type="dxa"/>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横向项目</w:t>
            </w:r>
          </w:p>
        </w:tc>
        <w:tc>
          <w:tcPr>
            <w:tcW w:w="3668" w:type="dxa"/>
            <w:gridSpan w:val="9"/>
            <w:vAlign w:val="center"/>
          </w:tcPr>
          <w:p>
            <w:pPr>
              <w:spacing w:line="420" w:lineRule="exact"/>
              <w:ind w:firstLine="0" w:firstLineChars="0"/>
              <w:jc w:val="center"/>
              <w:rPr>
                <w:rFonts w:ascii="仿宋_GB2312" w:hAnsi="宋体"/>
                <w:color w:val="000000" w:themeColor="text1"/>
                <w:sz w:val="28"/>
                <w:szCs w:val="20"/>
                <w:shd w:val="pct10" w:color="auto" w:fill="FFFFFF"/>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横向项目只计经费分，没有级别分。</w:t>
            </w:r>
          </w:p>
        </w:tc>
        <w:tc>
          <w:tcPr>
            <w:tcW w:w="3704" w:type="dxa"/>
            <w:vMerge w:val="continue"/>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restart"/>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2</w:t>
            </w:r>
          </w:p>
        </w:tc>
        <w:tc>
          <w:tcPr>
            <w:tcW w:w="600" w:type="dxa"/>
            <w:vMerge w:val="restart"/>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科研成果</w:t>
            </w:r>
          </w:p>
        </w:tc>
        <w:tc>
          <w:tcPr>
            <w:tcW w:w="804" w:type="dxa"/>
            <w:vMerge w:val="restart"/>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论文类</w:t>
            </w:r>
          </w:p>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成果</w:t>
            </w:r>
          </w:p>
        </w:tc>
        <w:tc>
          <w:tcPr>
            <w:tcW w:w="2310" w:type="dxa"/>
            <w:gridSpan w:val="6"/>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一级论文</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400</w:t>
            </w:r>
          </w:p>
        </w:tc>
        <w:tc>
          <w:tcPr>
            <w:tcW w:w="3704" w:type="dxa"/>
            <w:vMerge w:val="restart"/>
            <w:vAlign w:val="center"/>
          </w:tcPr>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1.论文类成果按篇计分。各人分值由第一作者按100%比例分配。已发表的论文被收录、转载和转摘，分数可累计计算。</w:t>
            </w:r>
          </w:p>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2.著作类成果根据类别按每万字计分。修订版按新版字数的20%计分。论文集、丛书主编或者著作类成果中没有注明编写章节字数的，最高执笔字数不得超过所有作者的平均执笔字数。与校外合著出版著作类成果，只有外单位名称没有北京青年政治学院或相关科研平台名称的不计分。未参加实质研究工作的编委会成员不计科研工作量。</w:t>
            </w:r>
          </w:p>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3.研究报告按每份计分。各人分值由负责人按100%比例分配。</w:t>
            </w:r>
          </w:p>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4.获奖类成果按每项计分。各人分值由负责人按100%比例分配。如当年获奖，申报则不计分。</w:t>
            </w:r>
          </w:p>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ascii="仿宋_GB2312" w:hAnsi="宋体"/>
                <w:color w:val="000000" w:themeColor="text1"/>
                <w:sz w:val="28"/>
                <w:szCs w:val="20"/>
                <w14:textFill>
                  <w14:solidFill>
                    <w14:schemeClr w14:val="tx1"/>
                  </w14:solidFill>
                </w14:textFill>
              </w:rPr>
              <w:t>5</w:t>
            </w:r>
            <w:r>
              <w:rPr>
                <w:rFonts w:hint="eastAsia" w:ascii="仿宋_GB2312" w:hAnsi="宋体"/>
                <w:color w:val="000000" w:themeColor="text1"/>
                <w:sz w:val="28"/>
                <w:szCs w:val="20"/>
                <w14:textFill>
                  <w14:solidFill>
                    <w14:schemeClr w14:val="tx1"/>
                  </w14:solidFill>
                </w14:textFill>
              </w:rPr>
              <w:t>.优秀网络文化成果按每项计分。各人分值由第一完成人按100%比例分配。</w:t>
            </w:r>
          </w:p>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ascii="仿宋_GB2312" w:hAnsi="宋体"/>
                <w:color w:val="000000" w:themeColor="text1"/>
                <w:sz w:val="28"/>
                <w:szCs w:val="20"/>
                <w14:textFill>
                  <w14:solidFill>
                    <w14:schemeClr w14:val="tx1"/>
                  </w14:solidFill>
                </w14:textFill>
              </w:rPr>
              <w:t>6</w:t>
            </w:r>
            <w:r>
              <w:rPr>
                <w:rFonts w:hint="eastAsia" w:ascii="仿宋_GB2312" w:hAnsi="宋体"/>
                <w:color w:val="000000" w:themeColor="text1"/>
                <w:sz w:val="28"/>
                <w:szCs w:val="20"/>
                <w14:textFill>
                  <w14:solidFill>
                    <w14:schemeClr w14:val="tx1"/>
                  </w14:solidFill>
                </w14:textFill>
              </w:rPr>
              <w:t>.知识产权按项计分，其中的“授权专利”须属于北京青年政治学院。</w:t>
            </w:r>
          </w:p>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7.其他形式的科研成果记分标准可参照上述计分标准。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2"/>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2"/>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2310" w:type="dxa"/>
            <w:gridSpan w:val="6"/>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二级论文</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300</w:t>
            </w:r>
          </w:p>
        </w:tc>
        <w:tc>
          <w:tcPr>
            <w:tcW w:w="3704" w:type="dxa"/>
            <w:vMerge w:val="continue"/>
            <w:vAlign w:val="center"/>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2"/>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2"/>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2310" w:type="dxa"/>
            <w:gridSpan w:val="6"/>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三级论文</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150</w:t>
            </w:r>
          </w:p>
        </w:tc>
        <w:tc>
          <w:tcPr>
            <w:tcW w:w="3704" w:type="dxa"/>
            <w:vMerge w:val="continue"/>
            <w:vAlign w:val="center"/>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2"/>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2"/>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2310" w:type="dxa"/>
            <w:gridSpan w:val="6"/>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四级论文</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120</w:t>
            </w:r>
          </w:p>
        </w:tc>
        <w:tc>
          <w:tcPr>
            <w:tcW w:w="3704" w:type="dxa"/>
            <w:vMerge w:val="continue"/>
            <w:vAlign w:val="center"/>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2"/>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2"/>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2310" w:type="dxa"/>
            <w:gridSpan w:val="6"/>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五级论文</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80</w:t>
            </w:r>
          </w:p>
        </w:tc>
        <w:tc>
          <w:tcPr>
            <w:tcW w:w="3704" w:type="dxa"/>
            <w:vMerge w:val="continue"/>
            <w:vAlign w:val="center"/>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804" w:type="dxa"/>
            <w:vMerge w:val="restart"/>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著作类</w:t>
            </w:r>
          </w:p>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成果</w:t>
            </w:r>
          </w:p>
        </w:tc>
        <w:tc>
          <w:tcPr>
            <w:tcW w:w="2310" w:type="dxa"/>
            <w:gridSpan w:val="6"/>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专著</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w:t>
            </w:r>
          </w:p>
        </w:tc>
        <w:tc>
          <w:tcPr>
            <w:tcW w:w="3704" w:type="dxa"/>
            <w:vMerge w:val="continue"/>
            <w:vAlign w:val="center"/>
          </w:tcPr>
          <w:p>
            <w:pPr>
              <w:spacing w:line="420" w:lineRule="exact"/>
              <w:ind w:firstLine="0" w:firstLineChars="0"/>
              <w:rPr>
                <w:rFonts w:ascii="仿宋_GB2312" w:hAnsi="宋体"/>
                <w:color w:val="000000" w:themeColor="text1"/>
                <w:sz w:val="28"/>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804" w:type="dxa"/>
            <w:vMerge w:val="continue"/>
            <w:vAlign w:val="center"/>
          </w:tcPr>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p>
        </w:tc>
        <w:tc>
          <w:tcPr>
            <w:tcW w:w="2310" w:type="dxa"/>
            <w:gridSpan w:val="6"/>
            <w:vAlign w:val="center"/>
          </w:tcPr>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编著、译著、</w:t>
            </w:r>
          </w:p>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古籍整理著作</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15</w:t>
            </w:r>
          </w:p>
        </w:tc>
        <w:tc>
          <w:tcPr>
            <w:tcW w:w="3704" w:type="dxa"/>
            <w:vMerge w:val="continue"/>
            <w:vAlign w:val="center"/>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804" w:type="dxa"/>
            <w:vMerge w:val="continue"/>
            <w:vAlign w:val="center"/>
          </w:tcPr>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p>
        </w:tc>
        <w:tc>
          <w:tcPr>
            <w:tcW w:w="2310" w:type="dxa"/>
            <w:gridSpan w:val="6"/>
            <w:vAlign w:val="center"/>
          </w:tcPr>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工具书</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13</w:t>
            </w:r>
          </w:p>
        </w:tc>
        <w:tc>
          <w:tcPr>
            <w:tcW w:w="3704" w:type="dxa"/>
            <w:vMerge w:val="continue"/>
            <w:vAlign w:val="center"/>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804" w:type="dxa"/>
            <w:vMerge w:val="continue"/>
            <w:vAlign w:val="center"/>
          </w:tcPr>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p>
        </w:tc>
        <w:tc>
          <w:tcPr>
            <w:tcW w:w="2310" w:type="dxa"/>
            <w:gridSpan w:val="6"/>
            <w:vAlign w:val="center"/>
          </w:tcPr>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论文集、丛书主编</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w:t>
            </w:r>
          </w:p>
        </w:tc>
        <w:tc>
          <w:tcPr>
            <w:tcW w:w="3704" w:type="dxa"/>
            <w:vMerge w:val="continue"/>
            <w:vAlign w:val="center"/>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804" w:type="dxa"/>
            <w:vMerge w:val="restart"/>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研究报告</w:t>
            </w:r>
          </w:p>
        </w:tc>
        <w:tc>
          <w:tcPr>
            <w:tcW w:w="2310" w:type="dxa"/>
            <w:gridSpan w:val="6"/>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一级研究报告</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800</w:t>
            </w:r>
          </w:p>
        </w:tc>
        <w:tc>
          <w:tcPr>
            <w:tcW w:w="3704" w:type="dxa"/>
            <w:vMerge w:val="continue"/>
            <w:vAlign w:val="center"/>
          </w:tcPr>
          <w:p>
            <w:pPr>
              <w:spacing w:line="420" w:lineRule="exact"/>
              <w:ind w:firstLine="0" w:firstLineChars="0"/>
              <w:rPr>
                <w:rFonts w:ascii="仿宋_GB2312" w:hAnsi="宋体"/>
                <w:color w:val="000000" w:themeColor="text1"/>
                <w:sz w:val="28"/>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2310" w:type="dxa"/>
            <w:gridSpan w:val="6"/>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二级研究报告</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200</w:t>
            </w:r>
          </w:p>
        </w:tc>
        <w:tc>
          <w:tcPr>
            <w:tcW w:w="3704" w:type="dxa"/>
            <w:vMerge w:val="continue"/>
            <w:vAlign w:val="center"/>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2310" w:type="dxa"/>
            <w:gridSpan w:val="6"/>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三级研究报告</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80</w:t>
            </w:r>
          </w:p>
        </w:tc>
        <w:tc>
          <w:tcPr>
            <w:tcW w:w="3704" w:type="dxa"/>
            <w:vMerge w:val="continue"/>
            <w:vAlign w:val="center"/>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2310" w:type="dxa"/>
            <w:gridSpan w:val="6"/>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四级研究报告</w:t>
            </w:r>
          </w:p>
        </w:tc>
        <w:tc>
          <w:tcPr>
            <w:tcW w:w="1358" w:type="dxa"/>
            <w:gridSpan w:val="3"/>
            <w:vAlign w:val="center"/>
          </w:tcPr>
          <w:p>
            <w:pPr>
              <w:adjustRightInd w:val="0"/>
              <w:snapToGrid w:val="0"/>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30</w:t>
            </w:r>
          </w:p>
        </w:tc>
        <w:tc>
          <w:tcPr>
            <w:tcW w:w="3704" w:type="dxa"/>
            <w:vMerge w:val="continue"/>
            <w:vAlign w:val="center"/>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804" w:type="dxa"/>
            <w:vMerge w:val="restart"/>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获奖类</w:t>
            </w:r>
          </w:p>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成果</w:t>
            </w:r>
          </w:p>
        </w:tc>
        <w:tc>
          <w:tcPr>
            <w:tcW w:w="951" w:type="dxa"/>
            <w:gridSpan w:val="2"/>
            <w:tcBorders>
              <w:bottom w:val="single" w:color="auto" w:sz="4" w:space="0"/>
            </w:tcBorders>
            <w:vAlign w:val="center"/>
          </w:tcPr>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等级</w:t>
            </w:r>
          </w:p>
        </w:tc>
        <w:tc>
          <w:tcPr>
            <w:tcW w:w="804" w:type="dxa"/>
            <w:gridSpan w:val="2"/>
            <w:tcBorders>
              <w:bottom w:val="single" w:color="auto" w:sz="4" w:space="0"/>
            </w:tcBorders>
            <w:vAlign w:val="center"/>
          </w:tcPr>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国家级</w:t>
            </w:r>
          </w:p>
        </w:tc>
        <w:tc>
          <w:tcPr>
            <w:tcW w:w="555" w:type="dxa"/>
            <w:gridSpan w:val="2"/>
            <w:tcBorders>
              <w:bottom w:val="single" w:color="auto" w:sz="4" w:space="0"/>
            </w:tcBorders>
            <w:vAlign w:val="center"/>
          </w:tcPr>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省部级</w:t>
            </w:r>
          </w:p>
        </w:tc>
        <w:tc>
          <w:tcPr>
            <w:tcW w:w="810" w:type="dxa"/>
            <w:gridSpan w:val="2"/>
            <w:tcBorders>
              <w:bottom w:val="single" w:color="auto" w:sz="4" w:space="0"/>
            </w:tcBorders>
            <w:vAlign w:val="center"/>
          </w:tcPr>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厅局级</w:t>
            </w:r>
          </w:p>
        </w:tc>
        <w:tc>
          <w:tcPr>
            <w:tcW w:w="548" w:type="dxa"/>
            <w:tcBorders>
              <w:bottom w:val="single" w:color="auto" w:sz="4" w:space="0"/>
            </w:tcBorders>
            <w:vAlign w:val="center"/>
          </w:tcPr>
          <w:p>
            <w:pPr>
              <w:spacing w:line="420" w:lineRule="exact"/>
              <w:ind w:left="-160" w:leftChars="-50" w:right="-160" w:rightChars="-50"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校级奖</w:t>
            </w:r>
          </w:p>
        </w:tc>
        <w:tc>
          <w:tcPr>
            <w:tcW w:w="3704" w:type="dxa"/>
            <w:vMerge w:val="continue"/>
            <w:shd w:val="clear" w:color="auto" w:fill="auto"/>
            <w:vAlign w:val="center"/>
          </w:tcPr>
          <w:p>
            <w:pPr>
              <w:spacing w:line="420" w:lineRule="exact"/>
              <w:ind w:firstLine="0" w:firstLineChars="0"/>
              <w:rPr>
                <w:rFonts w:ascii="仿宋_GB2312" w:hAnsi="宋体"/>
                <w:color w:val="000000" w:themeColor="text1"/>
                <w:sz w:val="28"/>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951"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特等</w:t>
            </w:r>
          </w:p>
        </w:tc>
        <w:tc>
          <w:tcPr>
            <w:tcW w:w="804"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1000</w:t>
            </w:r>
          </w:p>
        </w:tc>
        <w:tc>
          <w:tcPr>
            <w:tcW w:w="555"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300</w:t>
            </w:r>
          </w:p>
        </w:tc>
        <w:tc>
          <w:tcPr>
            <w:tcW w:w="810"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150</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70</w:t>
            </w:r>
          </w:p>
        </w:tc>
        <w:tc>
          <w:tcPr>
            <w:tcW w:w="3704" w:type="dxa"/>
            <w:vMerge w:val="continue"/>
            <w:shd w:val="clear" w:color="auto" w:fill="auto"/>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951"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一等</w:t>
            </w:r>
          </w:p>
        </w:tc>
        <w:tc>
          <w:tcPr>
            <w:tcW w:w="804"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800</w:t>
            </w:r>
          </w:p>
        </w:tc>
        <w:tc>
          <w:tcPr>
            <w:tcW w:w="555"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200</w:t>
            </w:r>
          </w:p>
        </w:tc>
        <w:tc>
          <w:tcPr>
            <w:tcW w:w="810"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130</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50</w:t>
            </w:r>
          </w:p>
        </w:tc>
        <w:tc>
          <w:tcPr>
            <w:tcW w:w="3704" w:type="dxa"/>
            <w:vMerge w:val="continue"/>
            <w:shd w:val="clear" w:color="auto" w:fill="auto"/>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951"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二等</w:t>
            </w:r>
          </w:p>
        </w:tc>
        <w:tc>
          <w:tcPr>
            <w:tcW w:w="804"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500</w:t>
            </w:r>
          </w:p>
        </w:tc>
        <w:tc>
          <w:tcPr>
            <w:tcW w:w="555"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180</w:t>
            </w:r>
          </w:p>
        </w:tc>
        <w:tc>
          <w:tcPr>
            <w:tcW w:w="810"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120</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30</w:t>
            </w:r>
          </w:p>
        </w:tc>
        <w:tc>
          <w:tcPr>
            <w:tcW w:w="3704" w:type="dxa"/>
            <w:vMerge w:val="continue"/>
            <w:shd w:val="clear" w:color="auto" w:fill="auto"/>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951"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三等</w:t>
            </w:r>
          </w:p>
        </w:tc>
        <w:tc>
          <w:tcPr>
            <w:tcW w:w="804"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300</w:t>
            </w:r>
          </w:p>
        </w:tc>
        <w:tc>
          <w:tcPr>
            <w:tcW w:w="555"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150</w:t>
            </w:r>
          </w:p>
        </w:tc>
        <w:tc>
          <w:tcPr>
            <w:tcW w:w="810"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100</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10</w:t>
            </w:r>
          </w:p>
        </w:tc>
        <w:tc>
          <w:tcPr>
            <w:tcW w:w="3704" w:type="dxa"/>
            <w:vMerge w:val="continue"/>
            <w:shd w:val="clear" w:color="auto" w:fill="auto"/>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951" w:type="dxa"/>
            <w:gridSpan w:val="2"/>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成果申报</w:t>
            </w:r>
          </w:p>
        </w:tc>
        <w:tc>
          <w:tcPr>
            <w:tcW w:w="804"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50</w:t>
            </w:r>
          </w:p>
        </w:tc>
        <w:tc>
          <w:tcPr>
            <w:tcW w:w="555"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40</w:t>
            </w:r>
          </w:p>
        </w:tc>
        <w:tc>
          <w:tcPr>
            <w:tcW w:w="810" w:type="dxa"/>
            <w:gridSpan w:val="2"/>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w:t>
            </w:r>
          </w:p>
        </w:tc>
        <w:tc>
          <w:tcPr>
            <w:tcW w:w="3704" w:type="dxa"/>
            <w:vMerge w:val="continue"/>
            <w:shd w:val="clear" w:color="auto" w:fill="auto"/>
          </w:tcPr>
          <w:p>
            <w:pPr>
              <w:spacing w:line="420" w:lineRule="exact"/>
              <w:ind w:firstLine="0" w:firstLineChars="0"/>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restart"/>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优秀网络文化成果</w:t>
            </w:r>
          </w:p>
        </w:tc>
        <w:tc>
          <w:tcPr>
            <w:tcW w:w="3120" w:type="dxa"/>
            <w:gridSpan w:val="8"/>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重大网络传播作品</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300</w:t>
            </w:r>
          </w:p>
        </w:tc>
        <w:tc>
          <w:tcPr>
            <w:tcW w:w="3704" w:type="dxa"/>
            <w:vMerge w:val="continue"/>
            <w:shd w:val="clear" w:color="auto" w:fill="auto"/>
          </w:tcPr>
          <w:p>
            <w:pPr>
              <w:widowControl/>
              <w:spacing w:line="420" w:lineRule="exact"/>
              <w:ind w:firstLine="0" w:firstLineChars="0"/>
              <w:rPr>
                <w:rFonts w:ascii="仿宋_GB2312" w:hAnsi="宋体"/>
                <w:color w:val="000000" w:themeColor="text1"/>
                <w:sz w:val="28"/>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120" w:type="dxa"/>
            <w:gridSpan w:val="8"/>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较大网络传播作品</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150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120" w:type="dxa"/>
            <w:gridSpan w:val="8"/>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一般网络传播作品</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80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restart"/>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知识产权</w:t>
            </w:r>
          </w:p>
        </w:tc>
        <w:tc>
          <w:tcPr>
            <w:tcW w:w="3120" w:type="dxa"/>
            <w:gridSpan w:val="8"/>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发明专利</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150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120" w:type="dxa"/>
            <w:gridSpan w:val="8"/>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实用新型专利</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120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120" w:type="dxa"/>
            <w:gridSpan w:val="8"/>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外观设计专利、软件著作权</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80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4"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120" w:type="dxa"/>
            <w:gridSpan w:val="8"/>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国家标准</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300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120" w:type="dxa"/>
            <w:gridSpan w:val="8"/>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行业标准</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804"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120" w:type="dxa"/>
            <w:gridSpan w:val="8"/>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地方标准</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100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restart"/>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3</w:t>
            </w:r>
          </w:p>
        </w:tc>
        <w:tc>
          <w:tcPr>
            <w:tcW w:w="600" w:type="dxa"/>
            <w:vMerge w:val="restart"/>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艺</w:t>
            </w:r>
          </w:p>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术</w:t>
            </w:r>
          </w:p>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作</w:t>
            </w:r>
          </w:p>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品</w:t>
            </w:r>
          </w:p>
        </w:tc>
        <w:tc>
          <w:tcPr>
            <w:tcW w:w="3924" w:type="dxa"/>
            <w:gridSpan w:val="9"/>
            <w:vAlign w:val="center"/>
          </w:tcPr>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文化部、中国美协、中国文联举办的五年一届的全国美展</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600</w:t>
            </w:r>
          </w:p>
        </w:tc>
        <w:tc>
          <w:tcPr>
            <w:tcW w:w="3704" w:type="dxa"/>
            <w:vMerge w:val="restart"/>
            <w:shd w:val="clear" w:color="auto" w:fill="auto"/>
          </w:tcPr>
          <w:p>
            <w:pPr>
              <w:widowControl/>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1.参加各级专业协会美展按相应级别50%计分。</w:t>
            </w:r>
          </w:p>
          <w:p>
            <w:pPr>
              <w:widowControl/>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2.参加美展所获金（一等）、银（二等）、铜（三等）奖分别按照基础值乘以“2:1.5:1”的系数计分，优秀奖或者获入围奖均按基础值的50%计分。</w:t>
            </w:r>
          </w:p>
          <w:p>
            <w:pPr>
              <w:widowControl/>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3.艺术收藏作品和个人艺术展等需提供相应级别证明。</w:t>
            </w:r>
          </w:p>
          <w:p>
            <w:pPr>
              <w:widowControl/>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4.在公开发行的期刊上发表的艺术作品的实际得分按该作品在页面中所占比例乘以一页（16开本）的标准分值计算，封面设计及各种插图不予计算。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924" w:type="dxa"/>
            <w:gridSpan w:val="9"/>
            <w:vAlign w:val="center"/>
          </w:tcPr>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文化部、中国美协主办或文化部、中国美协与国家级艺术团体联合主办的全国性美展</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400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924" w:type="dxa"/>
            <w:gridSpan w:val="9"/>
            <w:vAlign w:val="center"/>
          </w:tcPr>
          <w:p>
            <w:pPr>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国家级专业协会（指中国美术家协会、中国摄影家协会、中国建筑协会、中国服装设计协会、国工艺美术协会等）举办的各种美展</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300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924" w:type="dxa"/>
            <w:gridSpan w:val="9"/>
            <w:vAlign w:val="center"/>
          </w:tcPr>
          <w:p>
            <w:pPr>
              <w:spacing w:line="420" w:lineRule="exact"/>
              <w:ind w:firstLine="0" w:firstLineChars="0"/>
              <w:jc w:val="left"/>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北京市文化主管部门举办的北京省部级美展</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260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1434" w:type="dxa"/>
            <w:gridSpan w:val="2"/>
            <w:vMerge w:val="restart"/>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作品收藏</w:t>
            </w:r>
          </w:p>
        </w:tc>
        <w:tc>
          <w:tcPr>
            <w:tcW w:w="2490" w:type="dxa"/>
            <w:gridSpan w:val="7"/>
            <w:vAlign w:val="center"/>
          </w:tcPr>
          <w:p>
            <w:pPr>
              <w:spacing w:line="420" w:lineRule="exact"/>
              <w:ind w:firstLine="0" w:firstLineChars="0"/>
              <w:jc w:val="left"/>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国家级博物馆、美术馆</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1434" w:type="dxa"/>
            <w:gridSpan w:val="2"/>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2490" w:type="dxa"/>
            <w:gridSpan w:val="7"/>
            <w:vAlign w:val="center"/>
          </w:tcPr>
          <w:p>
            <w:pPr>
              <w:spacing w:line="420" w:lineRule="exact"/>
              <w:ind w:firstLine="0" w:firstLineChars="0"/>
              <w:jc w:val="left"/>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省部级博物馆、美术馆</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160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924" w:type="dxa"/>
            <w:gridSpan w:val="9"/>
            <w:vAlign w:val="center"/>
          </w:tcPr>
          <w:p>
            <w:pPr>
              <w:spacing w:line="420" w:lineRule="exact"/>
              <w:ind w:firstLine="0" w:firstLineChars="0"/>
              <w:jc w:val="left"/>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CSSCI（中文社会科学引文索引）和《中文核心期刊要目总览》收录期刊所发表的艺术作品</w:t>
            </w:r>
          </w:p>
        </w:tc>
        <w:tc>
          <w:tcPr>
            <w:tcW w:w="548" w:type="dxa"/>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120</w:t>
            </w:r>
          </w:p>
        </w:tc>
        <w:tc>
          <w:tcPr>
            <w:tcW w:w="3704" w:type="dxa"/>
            <w:vMerge w:val="continue"/>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3924" w:type="dxa"/>
            <w:gridSpan w:val="9"/>
            <w:tcBorders>
              <w:bottom w:val="single" w:color="auto" w:sz="4" w:space="0"/>
            </w:tcBorders>
            <w:vAlign w:val="center"/>
          </w:tcPr>
          <w:p>
            <w:pPr>
              <w:spacing w:line="420" w:lineRule="exact"/>
              <w:ind w:firstLine="0" w:firstLineChars="0"/>
              <w:jc w:val="left"/>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一般期刊所发表的艺术作品</w:t>
            </w:r>
          </w:p>
        </w:tc>
        <w:tc>
          <w:tcPr>
            <w:tcW w:w="548" w:type="dxa"/>
            <w:tcBorders>
              <w:bottom w:val="single" w:color="auto"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80</w:t>
            </w:r>
          </w:p>
        </w:tc>
        <w:tc>
          <w:tcPr>
            <w:tcW w:w="3704" w:type="dxa"/>
            <w:vMerge w:val="continue"/>
            <w:tcBorders>
              <w:bottom w:val="single" w:color="auto"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restart"/>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4</w:t>
            </w:r>
          </w:p>
        </w:tc>
        <w:tc>
          <w:tcPr>
            <w:tcW w:w="600" w:type="dxa"/>
            <w:vMerge w:val="restart"/>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平台建设</w:t>
            </w:r>
          </w:p>
        </w:tc>
        <w:tc>
          <w:tcPr>
            <w:tcW w:w="1434" w:type="dxa"/>
            <w:gridSpan w:val="2"/>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等级</w:t>
            </w:r>
          </w:p>
        </w:tc>
        <w:tc>
          <w:tcPr>
            <w:tcW w:w="1335" w:type="dxa"/>
            <w:gridSpan w:val="4"/>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国家级平台建设</w:t>
            </w:r>
          </w:p>
        </w:tc>
        <w:tc>
          <w:tcPr>
            <w:tcW w:w="1703" w:type="dxa"/>
            <w:gridSpan w:val="4"/>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省部级平台建设</w:t>
            </w:r>
          </w:p>
        </w:tc>
        <w:tc>
          <w:tcPr>
            <w:tcW w:w="3704" w:type="dxa"/>
            <w:vMerge w:val="restart"/>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1.平台建设是指研究基地等各级各类科研平台。</w:t>
            </w:r>
          </w:p>
          <w:p>
            <w:pPr>
              <w:widowControl/>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2.平台建设由项目负责人分配分值，由学校组织认定。</w:t>
            </w:r>
          </w:p>
          <w:p>
            <w:pPr>
              <w:widowControl/>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3.学报工作指组稿、审稿及校对、通读等工作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1434" w:type="dxa"/>
            <w:gridSpan w:val="2"/>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平台立项建设</w:t>
            </w:r>
          </w:p>
        </w:tc>
        <w:tc>
          <w:tcPr>
            <w:tcW w:w="1335" w:type="dxa"/>
            <w:gridSpan w:val="4"/>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300</w:t>
            </w:r>
          </w:p>
        </w:tc>
        <w:tc>
          <w:tcPr>
            <w:tcW w:w="1703" w:type="dxa"/>
            <w:gridSpan w:val="4"/>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200</w:t>
            </w:r>
          </w:p>
        </w:tc>
        <w:tc>
          <w:tcPr>
            <w:tcW w:w="3704" w:type="dxa"/>
            <w:vMerge w:val="continue"/>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8"/>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1434" w:type="dxa"/>
            <w:gridSpan w:val="2"/>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平台验收通过</w:t>
            </w:r>
          </w:p>
        </w:tc>
        <w:tc>
          <w:tcPr>
            <w:tcW w:w="1335" w:type="dxa"/>
            <w:gridSpan w:val="4"/>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180</w:t>
            </w:r>
          </w:p>
        </w:tc>
        <w:tc>
          <w:tcPr>
            <w:tcW w:w="1703" w:type="dxa"/>
            <w:gridSpan w:val="4"/>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150</w:t>
            </w:r>
          </w:p>
        </w:tc>
        <w:tc>
          <w:tcPr>
            <w:tcW w:w="3704" w:type="dxa"/>
            <w:vMerge w:val="continue"/>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1434" w:type="dxa"/>
            <w:gridSpan w:val="2"/>
            <w:vMerge w:val="restart"/>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学报工作</w:t>
            </w:r>
          </w:p>
        </w:tc>
        <w:tc>
          <w:tcPr>
            <w:tcW w:w="690" w:type="dxa"/>
            <w:gridSpan w:val="2"/>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编辑</w:t>
            </w:r>
          </w:p>
        </w:tc>
        <w:tc>
          <w:tcPr>
            <w:tcW w:w="1005" w:type="dxa"/>
            <w:gridSpan w:val="4"/>
            <w:tcBorders>
              <w:left w:val="single" w:color="000000" w:themeColor="text1" w:sz="4" w:space="0"/>
              <w:right w:val="single" w:color="000000" w:themeColor="text1" w:sz="4" w:space="0"/>
            </w:tcBorders>
            <w:vAlign w:val="center"/>
          </w:tcPr>
          <w:p>
            <w:pPr>
              <w:spacing w:line="420" w:lineRule="exact"/>
              <w:ind w:left="-160" w:leftChars="-50" w:right="-160" w:rightChars="-50"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编辑部</w:t>
            </w:r>
          </w:p>
          <w:p>
            <w:pPr>
              <w:spacing w:line="420" w:lineRule="exact"/>
              <w:ind w:left="-160" w:leftChars="-50" w:right="-160" w:rightChars="-50"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主任</w:t>
            </w:r>
          </w:p>
        </w:tc>
        <w:tc>
          <w:tcPr>
            <w:tcW w:w="795"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副</w:t>
            </w:r>
          </w:p>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主编</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主编</w:t>
            </w:r>
          </w:p>
        </w:tc>
        <w:tc>
          <w:tcPr>
            <w:tcW w:w="3704" w:type="dxa"/>
            <w:vMerge w:val="restart"/>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1434" w:type="dxa"/>
            <w:gridSpan w:val="2"/>
            <w:vMerge w:val="continue"/>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90" w:type="dxa"/>
            <w:gridSpan w:val="2"/>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50</w:t>
            </w:r>
          </w:p>
        </w:tc>
        <w:tc>
          <w:tcPr>
            <w:tcW w:w="1005" w:type="dxa"/>
            <w:gridSpan w:val="4"/>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70</w:t>
            </w:r>
          </w:p>
        </w:tc>
        <w:tc>
          <w:tcPr>
            <w:tcW w:w="795"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w:t>
            </w:r>
            <w:r>
              <w:rPr>
                <w:rFonts w:ascii="仿宋_GB2312" w:hAnsi="宋体"/>
                <w:color w:val="000000" w:themeColor="text1"/>
                <w:sz w:val="22"/>
                <w:szCs w:val="22"/>
                <w14:textFill>
                  <w14:solidFill>
                    <w14:schemeClr w14:val="tx1"/>
                  </w14:solidFill>
                </w14:textFill>
              </w:rPr>
              <w:t>00</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120</w:t>
            </w:r>
          </w:p>
        </w:tc>
        <w:tc>
          <w:tcPr>
            <w:tcW w:w="3704" w:type="dxa"/>
            <w:vMerge w:val="continue"/>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restart"/>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5</w:t>
            </w:r>
          </w:p>
        </w:tc>
        <w:tc>
          <w:tcPr>
            <w:tcW w:w="600" w:type="dxa"/>
            <w:vMerge w:val="restart"/>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团队建设</w:t>
            </w:r>
          </w:p>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1434" w:type="dxa"/>
            <w:gridSpan w:val="2"/>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等级</w:t>
            </w:r>
          </w:p>
        </w:tc>
        <w:tc>
          <w:tcPr>
            <w:tcW w:w="1125" w:type="dxa"/>
            <w:gridSpan w:val="3"/>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国家级</w:t>
            </w:r>
          </w:p>
        </w:tc>
        <w:tc>
          <w:tcPr>
            <w:tcW w:w="1365" w:type="dxa"/>
            <w:gridSpan w:val="4"/>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省部级</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校级</w:t>
            </w:r>
          </w:p>
        </w:tc>
        <w:tc>
          <w:tcPr>
            <w:tcW w:w="3704" w:type="dxa"/>
            <w:vMerge w:val="restart"/>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1.团队建设是指各级各类科研创新团队建设。</w:t>
            </w:r>
          </w:p>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2.科研团队由项目负责人分配分值。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1434" w:type="dxa"/>
            <w:gridSpan w:val="2"/>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立项建设</w:t>
            </w:r>
          </w:p>
        </w:tc>
        <w:tc>
          <w:tcPr>
            <w:tcW w:w="1125" w:type="dxa"/>
            <w:gridSpan w:val="3"/>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400</w:t>
            </w:r>
          </w:p>
        </w:tc>
        <w:tc>
          <w:tcPr>
            <w:tcW w:w="1365" w:type="dxa"/>
            <w:gridSpan w:val="4"/>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300</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200</w:t>
            </w:r>
          </w:p>
        </w:tc>
        <w:tc>
          <w:tcPr>
            <w:tcW w:w="3704" w:type="dxa"/>
            <w:vMerge w:val="continue"/>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570" w:type="dxa"/>
            <w:vMerge w:val="continue"/>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1434" w:type="dxa"/>
            <w:gridSpan w:val="2"/>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验收通过</w:t>
            </w:r>
          </w:p>
        </w:tc>
        <w:tc>
          <w:tcPr>
            <w:tcW w:w="1125" w:type="dxa"/>
            <w:gridSpan w:val="3"/>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200</w:t>
            </w:r>
          </w:p>
        </w:tc>
        <w:tc>
          <w:tcPr>
            <w:tcW w:w="1365" w:type="dxa"/>
            <w:gridSpan w:val="4"/>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150</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100</w:t>
            </w:r>
          </w:p>
        </w:tc>
        <w:tc>
          <w:tcPr>
            <w:tcW w:w="3704" w:type="dxa"/>
            <w:vMerge w:val="continue"/>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restart"/>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6</w:t>
            </w:r>
          </w:p>
        </w:tc>
        <w:tc>
          <w:tcPr>
            <w:tcW w:w="600" w:type="dxa"/>
            <w:vMerge w:val="restart"/>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学术活动</w:t>
            </w:r>
          </w:p>
        </w:tc>
        <w:tc>
          <w:tcPr>
            <w:tcW w:w="1434" w:type="dxa"/>
            <w:gridSpan w:val="2"/>
            <w:vMerge w:val="restart"/>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学术会议</w:t>
            </w:r>
          </w:p>
        </w:tc>
        <w:tc>
          <w:tcPr>
            <w:tcW w:w="2490" w:type="dxa"/>
            <w:gridSpan w:val="7"/>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举办国际学术会议</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100</w:t>
            </w:r>
          </w:p>
        </w:tc>
        <w:tc>
          <w:tcPr>
            <w:tcW w:w="3704" w:type="dxa"/>
            <w:vMerge w:val="restart"/>
            <w:tcBorders>
              <w:left w:val="single" w:color="000000" w:themeColor="text1" w:sz="4" w:space="0"/>
            </w:tcBorders>
            <w:shd w:val="clear" w:color="auto" w:fill="auto"/>
            <w:vAlign w:val="center"/>
          </w:tcPr>
          <w:p>
            <w:pPr>
              <w:widowControl/>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1.举办学术会议、学术报告、学术讲座由项目负责人分配分值，由学校组织认定。</w:t>
            </w:r>
          </w:p>
          <w:p>
            <w:pPr>
              <w:widowControl/>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2.教职工做学术报告、学术讲座计入个人科研工作量。每场次大会主场报告20分，分会专场报告15分，校外学术讲座10分，校内学术讲座15分。</w:t>
            </w:r>
          </w:p>
          <w:p>
            <w:pPr>
              <w:widowControl/>
              <w:spacing w:line="420" w:lineRule="exact"/>
              <w:ind w:firstLine="0" w:firstLineChars="0"/>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3.教职工参加学术活动每场次5分。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1434" w:type="dxa"/>
            <w:gridSpan w:val="2"/>
            <w:vMerge w:val="continue"/>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2490" w:type="dxa"/>
            <w:gridSpan w:val="7"/>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举办国内学术会议</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w:t>
            </w:r>
          </w:p>
        </w:tc>
        <w:tc>
          <w:tcPr>
            <w:tcW w:w="3704" w:type="dxa"/>
            <w:vMerge w:val="continue"/>
            <w:tcBorders>
              <w:left w:val="single" w:color="000000" w:themeColor="text1" w:sz="4" w:space="0"/>
            </w:tcBorders>
            <w:shd w:val="clear" w:color="auto" w:fill="auto"/>
            <w:vAlign w:val="center"/>
          </w:tcPr>
          <w:p>
            <w:pPr>
              <w:widowControl/>
              <w:spacing w:line="420" w:lineRule="exact"/>
              <w:ind w:firstLine="0" w:firstLineChars="0"/>
              <w:rPr>
                <w:rFonts w:ascii="仿宋_GB2312" w:hAnsi="宋体"/>
                <w:color w:val="000000" w:themeColor="text1"/>
                <w:sz w:val="28"/>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1434" w:type="dxa"/>
            <w:gridSpan w:val="2"/>
            <w:vMerge w:val="restart"/>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学术报告</w:t>
            </w:r>
          </w:p>
        </w:tc>
        <w:tc>
          <w:tcPr>
            <w:tcW w:w="2490" w:type="dxa"/>
            <w:gridSpan w:val="7"/>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大会主场报告</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w:t>
            </w:r>
          </w:p>
        </w:tc>
        <w:tc>
          <w:tcPr>
            <w:tcW w:w="3704" w:type="dxa"/>
            <w:vMerge w:val="continue"/>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1434" w:type="dxa"/>
            <w:gridSpan w:val="2"/>
            <w:vMerge w:val="continue"/>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2490" w:type="dxa"/>
            <w:gridSpan w:val="7"/>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分会专场报告</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15</w:t>
            </w:r>
          </w:p>
        </w:tc>
        <w:tc>
          <w:tcPr>
            <w:tcW w:w="3704" w:type="dxa"/>
            <w:vMerge w:val="continue"/>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1434" w:type="dxa"/>
            <w:gridSpan w:val="2"/>
            <w:vMerge w:val="restart"/>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学术讲座</w:t>
            </w:r>
          </w:p>
        </w:tc>
        <w:tc>
          <w:tcPr>
            <w:tcW w:w="2490" w:type="dxa"/>
            <w:gridSpan w:val="7"/>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校外学术讲座</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10</w:t>
            </w:r>
          </w:p>
        </w:tc>
        <w:tc>
          <w:tcPr>
            <w:tcW w:w="3704" w:type="dxa"/>
            <w:vMerge w:val="continue"/>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1434" w:type="dxa"/>
            <w:gridSpan w:val="2"/>
            <w:vMerge w:val="continue"/>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p>
        </w:tc>
        <w:tc>
          <w:tcPr>
            <w:tcW w:w="2490" w:type="dxa"/>
            <w:gridSpan w:val="7"/>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校内学术讲座</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15</w:t>
            </w:r>
          </w:p>
        </w:tc>
        <w:tc>
          <w:tcPr>
            <w:tcW w:w="3704" w:type="dxa"/>
            <w:vMerge w:val="continue"/>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left"/>
              <w:rPr>
                <w:rFonts w:ascii="仿宋_GB2312" w:hAnsi="宋体"/>
                <w:color w:val="000000" w:themeColor="text1"/>
                <w:sz w:val="28"/>
                <w:szCs w:val="20"/>
                <w14:textFill>
                  <w14:solidFill>
                    <w14:schemeClr w14:val="tx1"/>
                  </w14:solidFill>
                </w14:textFill>
              </w:rPr>
            </w:pPr>
          </w:p>
        </w:tc>
        <w:tc>
          <w:tcPr>
            <w:tcW w:w="3924" w:type="dxa"/>
            <w:gridSpan w:val="9"/>
            <w:tcBorders>
              <w:left w:val="single" w:color="000000" w:themeColor="text1" w:sz="4" w:space="0"/>
              <w:right w:val="single" w:color="000000" w:themeColor="text1" w:sz="4" w:space="0"/>
            </w:tcBorders>
            <w:vAlign w:val="center"/>
          </w:tcPr>
          <w:p>
            <w:pPr>
              <w:spacing w:line="420" w:lineRule="exact"/>
              <w:ind w:firstLine="0" w:firstLineChars="0"/>
              <w:jc w:val="left"/>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参加学校组织的科研会议、讲座等学术活动</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5</w:t>
            </w:r>
          </w:p>
        </w:tc>
        <w:tc>
          <w:tcPr>
            <w:tcW w:w="3704" w:type="dxa"/>
            <w:vMerge w:val="continue"/>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jc w:val="center"/>
        </w:trPr>
        <w:tc>
          <w:tcPr>
            <w:tcW w:w="570" w:type="dxa"/>
            <w:vMerge w:val="continue"/>
            <w:vAlign w:val="center"/>
          </w:tcPr>
          <w:p>
            <w:pPr>
              <w:spacing w:line="420" w:lineRule="exact"/>
              <w:ind w:firstLine="0" w:firstLineChars="0"/>
              <w:jc w:val="center"/>
              <w:rPr>
                <w:rFonts w:ascii="仿宋_GB2312" w:hAnsi="宋体"/>
                <w:color w:val="000000" w:themeColor="text1"/>
                <w:sz w:val="28"/>
                <w:szCs w:val="20"/>
                <w14:textFill>
                  <w14:solidFill>
                    <w14:schemeClr w14:val="tx1"/>
                  </w14:solidFill>
                </w14:textFill>
              </w:rPr>
            </w:pPr>
          </w:p>
        </w:tc>
        <w:tc>
          <w:tcPr>
            <w:tcW w:w="600" w:type="dxa"/>
            <w:vMerge w:val="continue"/>
            <w:tcBorders>
              <w:right w:val="single" w:color="000000" w:themeColor="text1" w:sz="4" w:space="0"/>
            </w:tcBorders>
            <w:vAlign w:val="center"/>
          </w:tcPr>
          <w:p>
            <w:pPr>
              <w:spacing w:line="420" w:lineRule="exact"/>
              <w:ind w:firstLine="0" w:firstLineChars="0"/>
              <w:jc w:val="left"/>
              <w:rPr>
                <w:rFonts w:ascii="仿宋_GB2312" w:hAnsi="宋体"/>
                <w:color w:val="000000" w:themeColor="text1"/>
                <w:sz w:val="28"/>
                <w:szCs w:val="20"/>
                <w14:textFill>
                  <w14:solidFill>
                    <w14:schemeClr w14:val="tx1"/>
                  </w14:solidFill>
                </w14:textFill>
              </w:rPr>
            </w:pPr>
          </w:p>
        </w:tc>
        <w:tc>
          <w:tcPr>
            <w:tcW w:w="3924" w:type="dxa"/>
            <w:gridSpan w:val="9"/>
            <w:tcBorders>
              <w:left w:val="single" w:color="000000" w:themeColor="text1" w:sz="4" w:space="0"/>
              <w:right w:val="single" w:color="000000" w:themeColor="text1" w:sz="4" w:space="0"/>
            </w:tcBorders>
            <w:vAlign w:val="center"/>
          </w:tcPr>
          <w:p>
            <w:pPr>
              <w:spacing w:line="420" w:lineRule="exact"/>
              <w:ind w:firstLine="0" w:firstLineChars="0"/>
              <w:jc w:val="left"/>
              <w:rPr>
                <w:rFonts w:ascii="仿宋_GB2312" w:hAnsi="宋体"/>
                <w:color w:val="000000" w:themeColor="text1"/>
                <w:sz w:val="28"/>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担任二级单位科研秘书</w:t>
            </w:r>
          </w:p>
        </w:tc>
        <w:tc>
          <w:tcPr>
            <w:tcW w:w="548" w:type="dxa"/>
            <w:tcBorders>
              <w:left w:val="single" w:color="000000" w:themeColor="text1" w:sz="4" w:space="0"/>
              <w:right w:val="single" w:color="000000" w:themeColor="text1" w:sz="4" w:space="0"/>
            </w:tcBorders>
            <w:vAlign w:val="center"/>
          </w:tcPr>
          <w:p>
            <w:pPr>
              <w:spacing w:line="420" w:lineRule="exact"/>
              <w:ind w:firstLine="0" w:firstLineChars="0"/>
              <w:jc w:val="center"/>
              <w:rPr>
                <w:rFonts w:ascii="仿宋_GB2312" w:hAnsi="宋体"/>
                <w:color w:val="000000" w:themeColor="text1"/>
                <w:sz w:val="22"/>
                <w:szCs w:val="22"/>
                <w14:textFill>
                  <w14:solidFill>
                    <w14:schemeClr w14:val="tx1"/>
                  </w14:solidFill>
                </w14:textFill>
              </w:rPr>
            </w:pPr>
            <w:r>
              <w:rPr>
                <w:rFonts w:hint="eastAsia" w:ascii="仿宋_GB2312" w:hAnsi="宋体"/>
                <w:color w:val="000000" w:themeColor="text1"/>
                <w:sz w:val="22"/>
                <w:szCs w:val="22"/>
                <w14:textFill>
                  <w14:solidFill>
                    <w14:schemeClr w14:val="tx1"/>
                  </w14:solidFill>
                </w14:textFill>
              </w:rPr>
              <w:t>20</w:t>
            </w:r>
          </w:p>
        </w:tc>
        <w:tc>
          <w:tcPr>
            <w:tcW w:w="3704" w:type="dxa"/>
            <w:vMerge w:val="continue"/>
            <w:tcBorders>
              <w:left w:val="single" w:color="000000" w:themeColor="text1" w:sz="4" w:space="0"/>
            </w:tcBorders>
            <w:shd w:val="clear" w:color="auto" w:fill="auto"/>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70" w:type="dxa"/>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7</w:t>
            </w:r>
          </w:p>
        </w:tc>
        <w:tc>
          <w:tcPr>
            <w:tcW w:w="600" w:type="dxa"/>
            <w:tcBorders>
              <w:right w:val="single" w:color="000000" w:themeColor="text1" w:sz="4" w:space="0"/>
            </w:tcBorders>
            <w:vAlign w:val="center"/>
          </w:tcPr>
          <w:p>
            <w:pPr>
              <w:spacing w:line="420" w:lineRule="exact"/>
              <w:ind w:firstLine="0" w:firstLineChars="0"/>
              <w:jc w:val="center"/>
              <w:rPr>
                <w:rFonts w:ascii="仿宋_GB2312" w:hAnsi="宋体"/>
                <w:b/>
                <w:color w:val="000000" w:themeColor="text1"/>
                <w:sz w:val="28"/>
                <w:szCs w:val="20"/>
                <w14:textFill>
                  <w14:solidFill>
                    <w14:schemeClr w14:val="tx1"/>
                  </w14:solidFill>
                </w14:textFill>
              </w:rPr>
            </w:pPr>
            <w:r>
              <w:rPr>
                <w:rFonts w:hint="eastAsia" w:ascii="仿宋_GB2312" w:hAnsi="宋体"/>
                <w:b/>
                <w:color w:val="000000" w:themeColor="text1"/>
                <w:sz w:val="28"/>
                <w:szCs w:val="20"/>
                <w14:textFill>
                  <w14:solidFill>
                    <w14:schemeClr w14:val="tx1"/>
                  </w14:solidFill>
                </w14:textFill>
              </w:rPr>
              <w:t>学院工作</w:t>
            </w:r>
          </w:p>
        </w:tc>
        <w:tc>
          <w:tcPr>
            <w:tcW w:w="8176" w:type="dxa"/>
            <w:gridSpan w:val="11"/>
            <w:tcBorders>
              <w:left w:val="single" w:color="000000" w:themeColor="text1" w:sz="4" w:space="0"/>
            </w:tcBorders>
            <w:vAlign w:val="center"/>
          </w:tcPr>
          <w:p>
            <w:pPr>
              <w:widowControl/>
              <w:spacing w:line="420" w:lineRule="exact"/>
              <w:ind w:firstLine="0" w:firstLineChars="0"/>
              <w:jc w:val="left"/>
              <w:rPr>
                <w:rFonts w:ascii="仿宋_GB2312" w:hAnsi="宋体"/>
                <w:color w:val="000000" w:themeColor="text1"/>
                <w:sz w:val="22"/>
                <w:szCs w:val="20"/>
                <w14:textFill>
                  <w14:solidFill>
                    <w14:schemeClr w14:val="tx1"/>
                  </w14:solidFill>
                </w14:textFill>
              </w:rPr>
            </w:pPr>
            <w:r>
              <w:rPr>
                <w:rFonts w:hint="eastAsia" w:ascii="仿宋_GB2312" w:hAnsi="宋体"/>
                <w:color w:val="000000" w:themeColor="text1"/>
                <w:sz w:val="28"/>
                <w:szCs w:val="20"/>
                <w14:textFill>
                  <w14:solidFill>
                    <w14:schemeClr w14:val="tx1"/>
                  </w14:solidFill>
                </w14:textFill>
              </w:rPr>
              <w:t>经学院学术委员会认定的科研业绩。</w:t>
            </w:r>
          </w:p>
        </w:tc>
      </w:tr>
    </w:tbl>
    <w:tbl>
      <w:tblPr>
        <w:tblStyle w:val="15"/>
        <w:tblpPr w:leftFromText="180" w:rightFromText="180" w:vertAnchor="page" w:horzAnchor="margin" w:tblpY="14101"/>
        <w:tblW w:w="892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8" w:type="dxa"/>
          </w:tcPr>
          <w:p>
            <w:pPr>
              <w:spacing w:line="600" w:lineRule="exact"/>
              <w:ind w:firstLine="140" w:firstLineChars="50"/>
              <w:rPr>
                <w:color w:val="FF0000"/>
                <w:kern w:val="0"/>
                <w:sz w:val="28"/>
                <w:szCs w:val="28"/>
              </w:rPr>
            </w:pPr>
            <w:bookmarkStart w:id="11" w:name="_Hlk199421452"/>
            <w:r>
              <w:rPr>
                <w:rFonts w:hint="eastAsia" w:ascii="仿宋_GB2312"/>
                <w:color w:val="000000" w:themeColor="text1"/>
                <w:sz w:val="28"/>
                <w:szCs w:val="28"/>
                <w14:textFill>
                  <w14:solidFill>
                    <w14:schemeClr w14:val="tx1"/>
                  </w14:solidFill>
                </w14:textFill>
              </w:rPr>
              <w:t xml:space="preserve">党政办公室                               </w:t>
            </w:r>
            <w:r>
              <w:rPr>
                <w:rFonts w:hint="eastAsia" w:ascii="仿宋_GB2312"/>
                <w:color w:val="000000" w:themeColor="text1"/>
                <w:sz w:val="28"/>
                <w:szCs w:val="28"/>
                <w:lang w:val="en-US" w:eastAsia="zh-CN"/>
                <w14:textFill>
                  <w14:solidFill>
                    <w14:schemeClr w14:val="tx1"/>
                  </w14:solidFill>
                </w14:textFill>
              </w:rPr>
              <w:t xml:space="preserve"> </w:t>
            </w:r>
            <w:bookmarkStart w:id="12" w:name="_GoBack"/>
            <w:bookmarkEnd w:id="12"/>
            <w:r>
              <w:rPr>
                <w:rFonts w:hint="eastAsia" w:ascii="仿宋_GB2312"/>
                <w:color w:val="000000" w:themeColor="text1"/>
                <w:sz w:val="28"/>
                <w:szCs w:val="28"/>
                <w14:textFill>
                  <w14:solidFill>
                    <w14:schemeClr w14:val="tx1"/>
                  </w14:solidFill>
                </w14:textFill>
              </w:rPr>
              <w:t>202</w:t>
            </w:r>
            <w:r>
              <w:rPr>
                <w:rFonts w:ascii="仿宋_GB2312"/>
                <w:color w:val="000000" w:themeColor="text1"/>
                <w:sz w:val="28"/>
                <w:szCs w:val="28"/>
                <w14:textFill>
                  <w14:solidFill>
                    <w14:schemeClr w14:val="tx1"/>
                  </w14:solidFill>
                </w14:textFill>
              </w:rPr>
              <w:t>5年</w:t>
            </w:r>
            <w:r>
              <w:rPr>
                <w:rFonts w:hint="eastAsia" w:ascii="仿宋_GB2312"/>
                <w:color w:val="000000" w:themeColor="text1"/>
                <w:sz w:val="28"/>
                <w:szCs w:val="28"/>
                <w14:textFill>
                  <w14:solidFill>
                    <w14:schemeClr w14:val="tx1"/>
                  </w14:solidFill>
                </w14:textFill>
              </w:rPr>
              <w:t>6月</w:t>
            </w:r>
            <w:r>
              <w:rPr>
                <w:rFonts w:hint="eastAsia" w:ascii="仿宋_GB2312"/>
                <w:color w:val="000000" w:themeColor="text1"/>
                <w:sz w:val="28"/>
                <w:szCs w:val="28"/>
                <w:lang w:val="en-US" w:eastAsia="zh-CN"/>
                <w14:textFill>
                  <w14:solidFill>
                    <w14:schemeClr w14:val="tx1"/>
                  </w14:solidFill>
                </w14:textFill>
              </w:rPr>
              <w:t>4</w:t>
            </w:r>
            <w:r>
              <w:rPr>
                <w:rFonts w:hint="eastAsia" w:ascii="仿宋_GB2312"/>
                <w:color w:val="000000" w:themeColor="text1"/>
                <w:sz w:val="28"/>
                <w:szCs w:val="28"/>
                <w14:textFill>
                  <w14:solidFill>
                    <w14:schemeClr w14:val="tx1"/>
                  </w14:solidFill>
                </w14:textFill>
              </w:rPr>
              <w:t>日印发</w:t>
            </w:r>
          </w:p>
        </w:tc>
      </w:tr>
      <w:bookmarkEnd w:id="11"/>
    </w:tbl>
    <w:p>
      <w:pPr>
        <w:pStyle w:val="9"/>
        <w:adjustRightInd w:val="0"/>
        <w:snapToGrid w:val="0"/>
        <w:spacing w:after="0" w:line="560" w:lineRule="exact"/>
        <w:ind w:left="0" w:leftChars="0" w:firstLine="640"/>
        <w:jc w:val="left"/>
      </w:pPr>
    </w:p>
    <w:sectPr>
      <w:footerReference r:id="rId10"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Vivaldi">
    <w:panose1 w:val="03020602050506090804"/>
    <w:charset w:val="00"/>
    <w:family w:val="auto"/>
    <w:pitch w:val="default"/>
    <w:sig w:usb0="00000003" w:usb1="00000000" w:usb2="00000000" w:usb3="00000000" w:csb0="20000001" w:csb1="00000000"/>
  </w:font>
  <w:font w:name="Wide Latin">
    <w:panose1 w:val="020A0A070505050204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firstLine="723"/>
                            <w:rPr>
                              <w:rFonts w:hint="eastAsia" w:ascii="宋体" w:hAnsi="宋体" w:eastAsia="宋体" w:cs="宋体"/>
                              <w:b w:val="0"/>
                              <w:bCs w:val="0"/>
                              <w:sz w:val="28"/>
                              <w:szCs w:val="28"/>
                            </w:rPr>
                          </w:pPr>
                          <w:r>
                            <w:rPr>
                              <w:rFonts w:hint="eastAsia" w:ascii="宋体" w:hAnsi="宋体" w:eastAsia="宋体" w:cs="宋体"/>
                              <w:b w:val="0"/>
                              <w:bCs w:val="0"/>
                              <w:sz w:val="28"/>
                              <w:szCs w:val="28"/>
                            </w:rPr>
                            <w:t xml:space="preserve">— </w:t>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  \* MERGEFORMAT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- 1 -</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
                      <w:ind w:firstLine="723"/>
                      <w:rPr>
                        <w:rFonts w:hint="eastAsia" w:ascii="宋体" w:hAnsi="宋体" w:eastAsia="宋体" w:cs="宋体"/>
                        <w:b w:val="0"/>
                        <w:bCs w:val="0"/>
                        <w:sz w:val="28"/>
                        <w:szCs w:val="28"/>
                      </w:rPr>
                    </w:pPr>
                    <w:r>
                      <w:rPr>
                        <w:rFonts w:hint="eastAsia" w:ascii="宋体" w:hAnsi="宋体" w:eastAsia="宋体" w:cs="宋体"/>
                        <w:b w:val="0"/>
                        <w:bCs w:val="0"/>
                        <w:sz w:val="28"/>
                        <w:szCs w:val="28"/>
                      </w:rPr>
                      <w:t xml:space="preserve">— </w:t>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  \* MERGEFORMAT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- 1 -</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jc w:val="both"/>
      <w:rPr>
        <w:rFonts w:asciiTheme="minorEastAsia" w:hAnsiTheme="minorEastAsia" w:eastAsiaTheme="minor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w:t>
                          </w:r>
                          <w:r>
                            <w:rPr>
                              <w:b w:val="0"/>
                              <w:bCs w:val="0"/>
                              <w:sz w:val="28"/>
                              <w:szCs w:val="28"/>
                            </w:rPr>
                            <w:fldChar w:fldCharType="end"/>
                          </w:r>
                          <w:r>
                            <w:rPr>
                              <w:b w:val="0"/>
                              <w:bCs w:val="0"/>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w:t>
                    </w:r>
                    <w:r>
                      <w:rPr>
                        <w:b w:val="0"/>
                        <w:bCs w:val="0"/>
                        <w:sz w:val="28"/>
                        <w:szCs w:val="28"/>
                      </w:rPr>
                      <w:fldChar w:fldCharType="end"/>
                    </w:r>
                    <w:r>
                      <w:rPr>
                        <w:b w:val="0"/>
                        <w:bCs w:val="0"/>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560"/>
      <w:jc w:val="center"/>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17</w:t>
                          </w:r>
                          <w:r>
                            <w:rPr>
                              <w:b w:val="0"/>
                              <w:bCs w:val="0"/>
                              <w:sz w:val="28"/>
                              <w:szCs w:val="28"/>
                            </w:rPr>
                            <w:fldChar w:fldCharType="end"/>
                          </w:r>
                          <w:r>
                            <w:rPr>
                              <w:b w:val="0"/>
                              <w:bCs w:val="0"/>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2"/>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17</w:t>
                    </w:r>
                    <w:r>
                      <w:rPr>
                        <w:b w:val="0"/>
                        <w:bCs w:val="0"/>
                        <w:sz w:val="28"/>
                        <w:szCs w:val="28"/>
                      </w:rPr>
                      <w:fldChar w:fldCharType="end"/>
                    </w:r>
                    <w:r>
                      <w:rPr>
                        <w:b w:val="0"/>
                        <w:bCs w:val="0"/>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560"/>
      <w:jc w:val="right"/>
      <w:rPr>
        <w:rFonts w:asciiTheme="minorEastAsia" w:hAnsiTheme="minorEastAsia" w:eastAsiaTheme="minorEastAsia"/>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23</w:t>
                          </w:r>
                          <w:r>
                            <w:rPr>
                              <w:b w:val="0"/>
                              <w:bCs w:val="0"/>
                              <w:sz w:val="28"/>
                              <w:szCs w:val="28"/>
                            </w:rPr>
                            <w:fldChar w:fldCharType="end"/>
                          </w:r>
                          <w:r>
                            <w:rPr>
                              <w:b w:val="0"/>
                              <w:bCs w:val="0"/>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2"/>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23</w:t>
                    </w:r>
                    <w:r>
                      <w:rPr>
                        <w:b w:val="0"/>
                        <w:bCs w:val="0"/>
                        <w:sz w:val="28"/>
                        <w:szCs w:val="28"/>
                      </w:rPr>
                      <w:fldChar w:fldCharType="end"/>
                    </w:r>
                    <w:r>
                      <w:rPr>
                        <w:b w:val="0"/>
                        <w:bCs w:val="0"/>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hODQyMDg0ODM5NjE4OTJiNTc0ZjAwN2RlMDdkOTYifQ=="/>
  </w:docVars>
  <w:rsids>
    <w:rsidRoot w:val="003B0CD6"/>
    <w:rsid w:val="00003EDE"/>
    <w:rsid w:val="0000539B"/>
    <w:rsid w:val="00026923"/>
    <w:rsid w:val="00040CC1"/>
    <w:rsid w:val="000536A8"/>
    <w:rsid w:val="00086C7E"/>
    <w:rsid w:val="000B125E"/>
    <w:rsid w:val="000C00B7"/>
    <w:rsid w:val="00117913"/>
    <w:rsid w:val="00124259"/>
    <w:rsid w:val="00132924"/>
    <w:rsid w:val="00165E6E"/>
    <w:rsid w:val="001712CC"/>
    <w:rsid w:val="001972F1"/>
    <w:rsid w:val="001B0A54"/>
    <w:rsid w:val="001D471A"/>
    <w:rsid w:val="00264522"/>
    <w:rsid w:val="00264DBE"/>
    <w:rsid w:val="002710B3"/>
    <w:rsid w:val="00271C51"/>
    <w:rsid w:val="002758A3"/>
    <w:rsid w:val="002B65C8"/>
    <w:rsid w:val="002D31DC"/>
    <w:rsid w:val="00302EBD"/>
    <w:rsid w:val="00336212"/>
    <w:rsid w:val="00370D10"/>
    <w:rsid w:val="00390EC5"/>
    <w:rsid w:val="00396E03"/>
    <w:rsid w:val="003B0CD6"/>
    <w:rsid w:val="003B70F3"/>
    <w:rsid w:val="003C030F"/>
    <w:rsid w:val="003E4E2F"/>
    <w:rsid w:val="003F28E7"/>
    <w:rsid w:val="00404BC3"/>
    <w:rsid w:val="00420B4F"/>
    <w:rsid w:val="004B03CB"/>
    <w:rsid w:val="004E168F"/>
    <w:rsid w:val="00516C9D"/>
    <w:rsid w:val="00533E58"/>
    <w:rsid w:val="005400FF"/>
    <w:rsid w:val="00595090"/>
    <w:rsid w:val="005D0B65"/>
    <w:rsid w:val="005F0A01"/>
    <w:rsid w:val="005F21CC"/>
    <w:rsid w:val="00600DF4"/>
    <w:rsid w:val="00637CCA"/>
    <w:rsid w:val="0067245E"/>
    <w:rsid w:val="00674D04"/>
    <w:rsid w:val="00685E3F"/>
    <w:rsid w:val="006B1E50"/>
    <w:rsid w:val="006B2732"/>
    <w:rsid w:val="006E29BD"/>
    <w:rsid w:val="00783109"/>
    <w:rsid w:val="00793CF0"/>
    <w:rsid w:val="007A00C1"/>
    <w:rsid w:val="007E0DF1"/>
    <w:rsid w:val="0080635D"/>
    <w:rsid w:val="00806D8D"/>
    <w:rsid w:val="00824491"/>
    <w:rsid w:val="00826D6F"/>
    <w:rsid w:val="008A10B2"/>
    <w:rsid w:val="008A2AB8"/>
    <w:rsid w:val="008D6177"/>
    <w:rsid w:val="00982EA5"/>
    <w:rsid w:val="009C3251"/>
    <w:rsid w:val="009E3D56"/>
    <w:rsid w:val="00A06CFE"/>
    <w:rsid w:val="00A40B89"/>
    <w:rsid w:val="00A62FF9"/>
    <w:rsid w:val="00A95173"/>
    <w:rsid w:val="00AC2C13"/>
    <w:rsid w:val="00B12F8D"/>
    <w:rsid w:val="00B13AC4"/>
    <w:rsid w:val="00B45191"/>
    <w:rsid w:val="00B63457"/>
    <w:rsid w:val="00B802F2"/>
    <w:rsid w:val="00B96CFC"/>
    <w:rsid w:val="00BB6C0C"/>
    <w:rsid w:val="00BC521B"/>
    <w:rsid w:val="00C02884"/>
    <w:rsid w:val="00C45B56"/>
    <w:rsid w:val="00CA10A4"/>
    <w:rsid w:val="00CC163C"/>
    <w:rsid w:val="00CD2036"/>
    <w:rsid w:val="00D26171"/>
    <w:rsid w:val="00DA1991"/>
    <w:rsid w:val="00DC2CDA"/>
    <w:rsid w:val="00DF7931"/>
    <w:rsid w:val="00E27863"/>
    <w:rsid w:val="00E44631"/>
    <w:rsid w:val="00E57937"/>
    <w:rsid w:val="00E61423"/>
    <w:rsid w:val="00E643C9"/>
    <w:rsid w:val="00E84CE1"/>
    <w:rsid w:val="00E87074"/>
    <w:rsid w:val="00E90120"/>
    <w:rsid w:val="00EA4574"/>
    <w:rsid w:val="00EA4669"/>
    <w:rsid w:val="00EA5680"/>
    <w:rsid w:val="00EC36EE"/>
    <w:rsid w:val="00EC6359"/>
    <w:rsid w:val="00ED240B"/>
    <w:rsid w:val="00EF5C33"/>
    <w:rsid w:val="00F25F19"/>
    <w:rsid w:val="00F52EA4"/>
    <w:rsid w:val="00F6003D"/>
    <w:rsid w:val="00F946B3"/>
    <w:rsid w:val="00FA0426"/>
    <w:rsid w:val="00FE7314"/>
    <w:rsid w:val="06417C35"/>
    <w:rsid w:val="09D50527"/>
    <w:rsid w:val="0A5A1F7D"/>
    <w:rsid w:val="1A61276C"/>
    <w:rsid w:val="3949332A"/>
    <w:rsid w:val="3FF382DC"/>
    <w:rsid w:val="40915E44"/>
    <w:rsid w:val="59E703C7"/>
    <w:rsid w:val="5D0F3B77"/>
    <w:rsid w:val="739647FD"/>
    <w:rsid w:val="77BD70A1"/>
    <w:rsid w:val="A6FFC31B"/>
    <w:rsid w:val="EFEE7082"/>
    <w:rsid w:val="FBDFE68F"/>
    <w:rsid w:val="FDB7E7BA"/>
    <w:rsid w:val="FF997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128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22"/>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21"/>
    <w:qFormat/>
    <w:uiPriority w:val="9"/>
    <w:pPr>
      <w:widowControl/>
      <w:spacing w:before="100" w:beforeAutospacing="1" w:after="100" w:afterAutospacing="1"/>
      <w:jc w:val="left"/>
      <w:outlineLvl w:val="1"/>
    </w:pPr>
    <w:rPr>
      <w:rFonts w:ascii="宋体" w:hAnsi="宋体"/>
      <w:b/>
      <w:bCs/>
      <w:kern w:val="0"/>
      <w:sz w:val="36"/>
      <w:szCs w:val="36"/>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4">
    <w:name w:val="caption"/>
    <w:basedOn w:val="1"/>
    <w:next w:val="1"/>
    <w:qFormat/>
    <w:uiPriority w:val="35"/>
    <w:rPr>
      <w:rFonts w:ascii="Cambria" w:hAnsi="Cambria" w:eastAsia="黑体"/>
      <w:sz w:val="20"/>
      <w:szCs w:val="20"/>
    </w:rPr>
  </w:style>
  <w:style w:type="paragraph" w:styleId="5">
    <w:name w:val="Body Text"/>
    <w:basedOn w:val="1"/>
    <w:link w:val="25"/>
    <w:qFormat/>
    <w:uiPriority w:val="0"/>
    <w:pPr>
      <w:spacing w:after="120"/>
    </w:pPr>
  </w:style>
  <w:style w:type="paragraph" w:styleId="6">
    <w:name w:val="Body Text Indent"/>
    <w:basedOn w:val="1"/>
    <w:link w:val="26"/>
    <w:qFormat/>
    <w:uiPriority w:val="0"/>
    <w:pPr>
      <w:spacing w:after="120"/>
      <w:ind w:left="420" w:leftChars="200"/>
    </w:pPr>
    <w:rPr>
      <w:rFonts w:ascii="Calibri" w:hAnsi="Calibri"/>
      <w:sz w:val="18"/>
      <w:szCs w:val="18"/>
    </w:rPr>
  </w:style>
  <w:style w:type="paragraph" w:styleId="7">
    <w:name w:val="Plain Text"/>
    <w:basedOn w:val="1"/>
    <w:link w:val="39"/>
    <w:qFormat/>
    <w:uiPriority w:val="0"/>
    <w:rPr>
      <w:rFonts w:ascii="宋体" w:hAnsi="Courier New"/>
      <w:szCs w:val="21"/>
    </w:rPr>
  </w:style>
  <w:style w:type="paragraph" w:styleId="8">
    <w:name w:val="Date"/>
    <w:basedOn w:val="1"/>
    <w:next w:val="1"/>
    <w:link w:val="27"/>
    <w:qFormat/>
    <w:uiPriority w:val="0"/>
    <w:pPr>
      <w:ind w:left="100" w:leftChars="2500"/>
    </w:pPr>
  </w:style>
  <w:style w:type="paragraph" w:styleId="9">
    <w:name w:val="Body Text Indent 2"/>
    <w:basedOn w:val="1"/>
    <w:link w:val="28"/>
    <w:qFormat/>
    <w:uiPriority w:val="0"/>
    <w:pPr>
      <w:spacing w:after="120" w:line="480" w:lineRule="auto"/>
      <w:ind w:left="420" w:leftChars="200"/>
    </w:pPr>
  </w:style>
  <w:style w:type="paragraph" w:styleId="10">
    <w:name w:val="Balloon Text"/>
    <w:basedOn w:val="1"/>
    <w:link w:val="40"/>
    <w:autoRedefine/>
    <w:qFormat/>
    <w:uiPriority w:val="0"/>
    <w:rPr>
      <w:rFonts w:cs="宋体" w:asciiTheme="minorHAnsi" w:hAnsiTheme="minorHAnsi" w:eastAsiaTheme="minorEastAsia"/>
      <w:sz w:val="18"/>
      <w:szCs w:val="18"/>
    </w:rPr>
  </w:style>
  <w:style w:type="paragraph" w:styleId="11">
    <w:name w:val="footer"/>
    <w:basedOn w:val="1"/>
    <w:link w:val="24"/>
    <w:autoRedefine/>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29"/>
    <w:qFormat/>
    <w:uiPriority w:val="0"/>
    <w:pPr>
      <w:spacing w:after="120"/>
      <w:ind w:left="420" w:leftChars="200"/>
    </w:pPr>
    <w:rPr>
      <w:sz w:val="16"/>
      <w:szCs w:val="16"/>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18"/>
      <w:szCs w:val="18"/>
    </w:rPr>
  </w:style>
  <w:style w:type="table" w:styleId="16">
    <w:name w:val="Table Grid"/>
    <w:basedOn w:val="1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rPr>
      <w:rFonts w:cs="Times New Roman"/>
    </w:rPr>
  </w:style>
  <w:style w:type="character" w:styleId="19">
    <w:name w:val="line number"/>
    <w:qFormat/>
    <w:uiPriority w:val="0"/>
  </w:style>
  <w:style w:type="paragraph" w:customStyle="1" w:styleId="20">
    <w:name w:val="大标题"/>
    <w:basedOn w:val="1"/>
    <w:qFormat/>
    <w:uiPriority w:val="0"/>
    <w:pPr>
      <w:pageBreakBefore/>
      <w:widowControl/>
      <w:spacing w:before="100" w:beforeLines="100" w:after="100" w:afterLines="100"/>
      <w:ind w:firstLine="0" w:firstLineChars="0"/>
      <w:jc w:val="center"/>
    </w:pPr>
    <w:rPr>
      <w:rFonts w:ascii="方正小标宋简体" w:hAnsi="方正小标宋简体" w:eastAsia="方正小标宋简体"/>
      <w:sz w:val="44"/>
      <w:szCs w:val="44"/>
    </w:rPr>
  </w:style>
  <w:style w:type="character" w:customStyle="1" w:styleId="21">
    <w:name w:val="标题 2 字符"/>
    <w:basedOn w:val="17"/>
    <w:link w:val="2"/>
    <w:qFormat/>
    <w:uiPriority w:val="9"/>
    <w:rPr>
      <w:rFonts w:ascii="宋体" w:hAnsi="宋体" w:eastAsia="宋体" w:cs="Times New Roman"/>
      <w:b/>
      <w:bCs/>
      <w:kern w:val="0"/>
      <w:sz w:val="36"/>
      <w:szCs w:val="36"/>
    </w:rPr>
  </w:style>
  <w:style w:type="character" w:customStyle="1" w:styleId="22">
    <w:name w:val="标题 1 字符"/>
    <w:basedOn w:val="17"/>
    <w:link w:val="3"/>
    <w:qFormat/>
    <w:uiPriority w:val="0"/>
    <w:rPr>
      <w:rFonts w:ascii="Times New Roman" w:hAnsi="Times New Roman" w:eastAsia="宋体" w:cs="Times New Roman"/>
      <w:b/>
      <w:bCs/>
      <w:kern w:val="44"/>
      <w:sz w:val="44"/>
      <w:szCs w:val="44"/>
    </w:rPr>
  </w:style>
  <w:style w:type="character" w:customStyle="1" w:styleId="23">
    <w:name w:val="页眉 字符"/>
    <w:basedOn w:val="17"/>
    <w:link w:val="12"/>
    <w:qFormat/>
    <w:uiPriority w:val="0"/>
    <w:rPr>
      <w:sz w:val="18"/>
      <w:szCs w:val="18"/>
    </w:rPr>
  </w:style>
  <w:style w:type="character" w:customStyle="1" w:styleId="24">
    <w:name w:val="页脚 字符"/>
    <w:basedOn w:val="17"/>
    <w:link w:val="11"/>
    <w:qFormat/>
    <w:uiPriority w:val="99"/>
    <w:rPr>
      <w:sz w:val="18"/>
      <w:szCs w:val="18"/>
    </w:rPr>
  </w:style>
  <w:style w:type="character" w:customStyle="1" w:styleId="25">
    <w:name w:val="正文文本 字符"/>
    <w:basedOn w:val="17"/>
    <w:link w:val="5"/>
    <w:qFormat/>
    <w:uiPriority w:val="0"/>
    <w:rPr>
      <w:rFonts w:ascii="Times New Roman" w:hAnsi="Times New Roman" w:eastAsia="宋体" w:cs="Times New Roman"/>
      <w:szCs w:val="24"/>
    </w:rPr>
  </w:style>
  <w:style w:type="character" w:customStyle="1" w:styleId="26">
    <w:name w:val="正文文本缩进 字符"/>
    <w:basedOn w:val="17"/>
    <w:link w:val="6"/>
    <w:autoRedefine/>
    <w:qFormat/>
    <w:uiPriority w:val="0"/>
    <w:rPr>
      <w:rFonts w:ascii="Calibri" w:hAnsi="Calibri" w:eastAsia="宋体" w:cs="Times New Roman"/>
      <w:sz w:val="18"/>
      <w:szCs w:val="18"/>
    </w:rPr>
  </w:style>
  <w:style w:type="character" w:customStyle="1" w:styleId="27">
    <w:name w:val="日期 字符"/>
    <w:basedOn w:val="17"/>
    <w:link w:val="8"/>
    <w:autoRedefine/>
    <w:qFormat/>
    <w:uiPriority w:val="0"/>
    <w:rPr>
      <w:rFonts w:ascii="Times New Roman" w:hAnsi="Times New Roman" w:eastAsia="宋体" w:cs="Times New Roman"/>
      <w:szCs w:val="24"/>
    </w:rPr>
  </w:style>
  <w:style w:type="character" w:customStyle="1" w:styleId="28">
    <w:name w:val="正文文本缩进 2 字符"/>
    <w:basedOn w:val="17"/>
    <w:link w:val="9"/>
    <w:qFormat/>
    <w:uiPriority w:val="0"/>
    <w:rPr>
      <w:rFonts w:ascii="Times New Roman" w:hAnsi="Times New Roman" w:eastAsia="宋体" w:cs="Times New Roman"/>
      <w:szCs w:val="24"/>
    </w:rPr>
  </w:style>
  <w:style w:type="character" w:customStyle="1" w:styleId="29">
    <w:name w:val="正文文本缩进 3 字符"/>
    <w:basedOn w:val="17"/>
    <w:link w:val="13"/>
    <w:qFormat/>
    <w:uiPriority w:val="0"/>
    <w:rPr>
      <w:rFonts w:ascii="Times New Roman" w:hAnsi="Times New Roman" w:eastAsia="宋体" w:cs="Times New Roman"/>
      <w:sz w:val="16"/>
      <w:szCs w:val="16"/>
    </w:rPr>
  </w:style>
  <w:style w:type="paragraph" w:customStyle="1" w:styleId="30">
    <w:name w:val="p0"/>
    <w:basedOn w:val="1"/>
    <w:qFormat/>
    <w:uiPriority w:val="0"/>
    <w:pPr>
      <w:widowControl/>
    </w:pPr>
    <w:rPr>
      <w:kern w:val="0"/>
      <w:szCs w:val="21"/>
    </w:rPr>
  </w:style>
  <w:style w:type="paragraph" w:styleId="31">
    <w:name w:val="List Paragraph"/>
    <w:basedOn w:val="1"/>
    <w:qFormat/>
    <w:uiPriority w:val="34"/>
    <w:pPr>
      <w:ind w:firstLine="420"/>
    </w:pPr>
  </w:style>
  <w:style w:type="paragraph" w:customStyle="1" w:styleId="32">
    <w:name w:val="p15"/>
    <w:basedOn w:val="1"/>
    <w:qFormat/>
    <w:uiPriority w:val="0"/>
    <w:pPr>
      <w:widowControl/>
      <w:ind w:firstLine="420"/>
    </w:pPr>
    <w:rPr>
      <w:kern w:val="0"/>
      <w:szCs w:val="21"/>
    </w:rPr>
  </w:style>
  <w:style w:type="paragraph" w:customStyle="1" w:styleId="33">
    <w:name w:val="列出段落1"/>
    <w:basedOn w:val="1"/>
    <w:qFormat/>
    <w:uiPriority w:val="0"/>
    <w:pPr>
      <w:ind w:left="720"/>
    </w:pPr>
    <w:rPr>
      <w:rFonts w:ascii="Calibri" w:hAnsi="Calibri"/>
      <w:szCs w:val="22"/>
    </w:rPr>
  </w:style>
  <w:style w:type="character" w:customStyle="1" w:styleId="34">
    <w:name w:val="UserStyle_8"/>
    <w:link w:val="35"/>
    <w:qFormat/>
    <w:locked/>
    <w:uiPriority w:val="0"/>
  </w:style>
  <w:style w:type="paragraph" w:customStyle="1" w:styleId="35">
    <w:name w:val="UserStyle_9"/>
    <w:basedOn w:val="1"/>
    <w:link w:val="34"/>
    <w:autoRedefine/>
    <w:qFormat/>
    <w:uiPriority w:val="0"/>
    <w:rPr>
      <w:rFonts w:asciiTheme="minorHAnsi" w:hAnsiTheme="minorHAnsi" w:eastAsiaTheme="minorEastAsia" w:cstheme="minorBidi"/>
      <w:szCs w:val="22"/>
    </w:rPr>
  </w:style>
  <w:style w:type="character" w:customStyle="1" w:styleId="36">
    <w:name w:val="fontstyle11"/>
    <w:qFormat/>
    <w:uiPriority w:val="0"/>
    <w:rPr>
      <w:rFonts w:hint="eastAsia" w:ascii="仿宋_GB2312" w:eastAsia="仿宋_GB2312"/>
      <w:color w:val="000000"/>
      <w:sz w:val="32"/>
      <w:szCs w:val="32"/>
    </w:rPr>
  </w:style>
  <w:style w:type="character" w:customStyle="1" w:styleId="37">
    <w:name w:val="fontstyle01"/>
    <w:autoRedefine/>
    <w:qFormat/>
    <w:uiPriority w:val="0"/>
    <w:rPr>
      <w:rFonts w:hint="eastAsia" w:ascii="仿宋" w:hAnsi="仿宋" w:eastAsia="仿宋"/>
      <w:color w:val="000000"/>
      <w:sz w:val="32"/>
      <w:szCs w:val="32"/>
    </w:rPr>
  </w:style>
  <w:style w:type="paragraph" w:customStyle="1" w:styleId="38">
    <w:name w:val="Body text|1"/>
    <w:basedOn w:val="1"/>
    <w:qFormat/>
    <w:uiPriority w:val="0"/>
    <w:pPr>
      <w:spacing w:line="439" w:lineRule="auto"/>
      <w:ind w:firstLine="400"/>
    </w:pPr>
    <w:rPr>
      <w:rFonts w:ascii="宋体" w:hAnsi="宋体" w:cs="宋体"/>
      <w:sz w:val="30"/>
      <w:szCs w:val="30"/>
      <w:lang w:val="zh-TW" w:eastAsia="zh-TW" w:bidi="zh-TW"/>
    </w:rPr>
  </w:style>
  <w:style w:type="character" w:customStyle="1" w:styleId="39">
    <w:name w:val="纯文本 字符"/>
    <w:basedOn w:val="17"/>
    <w:link w:val="7"/>
    <w:qFormat/>
    <w:uiPriority w:val="0"/>
    <w:rPr>
      <w:rFonts w:ascii="宋体" w:hAnsi="Courier New" w:eastAsia="仿宋_GB2312" w:cs="Times New Roman"/>
      <w:sz w:val="32"/>
      <w:szCs w:val="21"/>
    </w:rPr>
  </w:style>
  <w:style w:type="character" w:customStyle="1" w:styleId="40">
    <w:name w:val="批注框文本 字符"/>
    <w:link w:val="10"/>
    <w:qFormat/>
    <w:uiPriority w:val="0"/>
    <w:rPr>
      <w:rFonts w:cs="宋体"/>
      <w:sz w:val="18"/>
      <w:szCs w:val="18"/>
    </w:rPr>
  </w:style>
  <w:style w:type="character" w:customStyle="1" w:styleId="41">
    <w:name w:val="批注框文本 Char1"/>
    <w:basedOn w:val="17"/>
    <w:semiHidden/>
    <w:qFormat/>
    <w:uiPriority w:val="99"/>
    <w:rPr>
      <w:rFonts w:ascii="Times New Roman" w:hAnsi="Times New Roman" w:eastAsia="宋体" w:cs="Times New Roman"/>
      <w:sz w:val="18"/>
      <w:szCs w:val="18"/>
    </w:rPr>
  </w:style>
  <w:style w:type="character" w:customStyle="1" w:styleId="42">
    <w:name w:val="fontstyle21"/>
    <w:autoRedefine/>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7927CB-C20B-488C-B9A1-DEF08E234C22}">
  <ds:schemaRefs/>
</ds:datastoreItem>
</file>

<file path=docProps/app.xml><?xml version="1.0" encoding="utf-8"?>
<Properties xmlns="http://schemas.openxmlformats.org/officeDocument/2006/extended-properties" xmlns:vt="http://schemas.openxmlformats.org/officeDocument/2006/docPropsVTypes">
  <Template>Normal</Template>
  <Pages>1</Pages>
  <Words>1698</Words>
  <Characters>9685</Characters>
  <Lines>80</Lines>
  <Paragraphs>22</Paragraphs>
  <TotalTime>0</TotalTime>
  <ScaleCrop>false</ScaleCrop>
  <LinksUpToDate>false</LinksUpToDate>
  <CharactersWithSpaces>11361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2023-02-03T03:06:00Z</dcterms:created>
  <dc:creator>DELL</dc:creator>
  <cp:lastModifiedBy>20170003</cp:lastModifiedBy>
  <cp:lastPrinted>2025-06-04T10:04:40Z</cp:lastPrinted>
  <dcterms:modified xsi:type="dcterms:W3CDTF">2025-06-04T10:04:50Z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536489317562491E80DEA873F87AE217</vt:lpwstr>
  </property>
  <property fmtid="{D5CDD505-2E9C-101B-9397-08002B2CF9AE}" pid="4" name="KSOTemplateDocerSaveRecord">
    <vt:lpwstr>eyJoZGlkIjoiNjg0ZjdlYmExZjk1OGYzYTZkNDczZWMxMWNiYWZkM2MiLCJ1c2VySWQiOiIxNTg0NzA0Nzk4In0=</vt:lpwstr>
  </property>
</Properties>
</file>