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5236" w:type="pct"/>
        <w:jc w:val="center"/>
        <w:tblBorders>
          <w:top w:val="none" w:color="auto" w:sz="0" w:space="0"/>
          <w:left w:val="none" w:color="auto" w:sz="0" w:space="0"/>
          <w:bottom w:val="single" w:color="FF0000" w:sz="1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24"/>
        <w:gridCol w:w="564"/>
      </w:tblGrid>
      <w:tr>
        <w:tblPrEx>
          <w:tblBorders>
            <w:top w:val="none" w:color="auto" w:sz="0"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1" w:hRule="atLeast"/>
          <w:jc w:val="center"/>
        </w:trPr>
        <w:tc>
          <w:tcPr>
            <w:tcW w:w="5000" w:type="pct"/>
            <w:gridSpan w:val="2"/>
            <w:tcBorders>
              <w:top w:val="nil"/>
              <w:left w:val="nil"/>
              <w:bottom w:val="nil"/>
              <w:right w:val="nil"/>
            </w:tcBorders>
            <w:vAlign w:val="center"/>
          </w:tcPr>
          <w:p>
            <w:pPr>
              <w:jc w:val="center"/>
              <w:rPr>
                <w:rFonts w:ascii="方正小标宋简体" w:eastAsia="方正小标宋简体"/>
                <w:sz w:val="64"/>
                <w:szCs w:val="64"/>
              </w:rPr>
            </w:pPr>
            <w:r>
              <w:rPr>
                <w:rFonts w:hint="eastAsia" w:ascii="方正小标宋简体" w:hAnsi="宋体" w:eastAsia="方正小标宋简体"/>
                <w:color w:val="FF0000"/>
                <w:spacing w:val="60"/>
                <w:sz w:val="64"/>
                <w:szCs w:val="64"/>
              </w:rPr>
              <w:t>北京青年政治学院文</w:t>
            </w:r>
            <w:r>
              <w:rPr>
                <w:rFonts w:hint="eastAsia" w:ascii="方正小标宋简体" w:hAnsi="宋体" w:eastAsia="方正小标宋简体"/>
                <w:color w:val="FF0000"/>
                <w:sz w:val="64"/>
                <w:szCs w:val="64"/>
              </w:rPr>
              <w:t>件</w:t>
            </w:r>
          </w:p>
        </w:tc>
      </w:tr>
      <w:tr>
        <w:tblPrEx>
          <w:tblBorders>
            <w:top w:val="none" w:color="auto" w:sz="0"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97" w:type="pct"/>
          <w:trHeight w:val="638" w:hRule="atLeast"/>
          <w:jc w:val="center"/>
        </w:trPr>
        <w:tc>
          <w:tcPr>
            <w:tcW w:w="4703" w:type="pct"/>
            <w:tcBorders>
              <w:top w:val="nil"/>
              <w:left w:val="nil"/>
              <w:bottom w:val="nil"/>
              <w:right w:val="nil"/>
            </w:tcBorders>
            <w:vAlign w:val="center"/>
          </w:tcPr>
          <w:p>
            <w:pPr>
              <w:spacing w:line="540" w:lineRule="exact"/>
              <w:jc w:val="center"/>
              <w:rPr>
                <w:rFonts w:ascii="仿宋_GB2312" w:hAnsi="宋体" w:eastAsia="仿宋_GB2312"/>
                <w:color w:val="FF0000"/>
                <w:sz w:val="32"/>
                <w:szCs w:val="32"/>
              </w:rPr>
            </w:pPr>
          </w:p>
        </w:tc>
      </w:tr>
      <w:tr>
        <w:tblPrEx>
          <w:tblBorders>
            <w:top w:val="none" w:color="auto" w:sz="0"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97" w:type="pct"/>
          <w:trHeight w:val="623" w:hRule="atLeast"/>
          <w:jc w:val="center"/>
        </w:trPr>
        <w:tc>
          <w:tcPr>
            <w:tcW w:w="4703" w:type="pct"/>
            <w:tcBorders>
              <w:top w:val="nil"/>
              <w:left w:val="nil"/>
              <w:bottom w:val="nil"/>
              <w:right w:val="nil"/>
            </w:tcBorders>
            <w:vAlign w:val="center"/>
          </w:tcPr>
          <w:p>
            <w:pPr>
              <w:spacing w:line="540" w:lineRule="exact"/>
              <w:jc w:val="center"/>
              <w:rPr>
                <w:rFonts w:ascii="仿宋_GB2312" w:eastAsia="仿宋_GB2312"/>
                <w:color w:val="000000"/>
                <w:sz w:val="32"/>
                <w:szCs w:val="32"/>
              </w:rPr>
            </w:pPr>
            <w:r>
              <w:pict>
                <v:shape id="文本框 1" o:spid="_x0000_s1027" o:spt="202" type="#_x0000_t202" style="position:absolute;left:0pt;margin-left:-1.15pt;margin-top:5pt;height:54pt;width:468.05pt;z-index:-251657216;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">
                  <v:path/>
                  <v:fill focussize="0,0"/>
                  <v:stroke on="f" joinstyle="miter"/>
                  <v:imagedata o:title=""/>
                  <o:lock v:ext="edit"/>
                  <v:textbox>
                    <w:txbxContent>
                      <w:p>
                        <w:pPr>
                          <w:tabs>
                            <w:tab w:val="left" w:pos="8647"/>
                            <w:tab w:val="left" w:pos="8789"/>
                            <w:tab w:val="left" w:pos="8931"/>
                          </w:tabs>
                        </w:pPr>
                        <w:r>
                          <w:rPr>
                            <w:rFonts w:ascii="华文中宋" w:hAnsi="华文中宋" w:eastAsia="华文中宋"/>
                            <w:color w:val="FF0000"/>
                            <w:sz w:val="44"/>
                            <w:szCs w:val="44"/>
                          </w:rPr>
                          <w:drawing>
                            <wp:inline distT="0" distB="0" distL="0" distR="0">
                              <wp:extent cx="5762625" cy="66675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srcRect/>
                                      <a:stretch>
                                        <a:fillRect/>
                                      </a:stretch>
                                    </pic:blipFill>
                                    <pic:spPr>
                                      <a:xfrm>
                                        <a:off x="0" y="0"/>
                                        <a:ext cx="5762625" cy="666750"/>
                                      </a:xfrm>
                                      <a:prstGeom prst="rect">
                                        <a:avLst/>
                                      </a:prstGeom>
                                      <a:noFill/>
                                      <a:ln w="9525">
                                        <a:noFill/>
                                        <a:miter lim="800000"/>
                                        <a:headEnd/>
                                        <a:tailEnd/>
                                      </a:ln>
                                    </pic:spPr>
                                  </pic:pic>
                                </a:graphicData>
                              </a:graphic>
                            </wp:inline>
                          </w:drawing>
                        </w:r>
                      </w:p>
                    </w:txbxContent>
                  </v:textbox>
                </v:shape>
              </w:pict>
            </w:r>
            <w:r>
              <w:rPr>
                <w:rFonts w:hint="eastAsia" w:ascii="仿宋_GB2312" w:hAnsi="宋体" w:eastAsia="仿宋_GB2312"/>
                <w:color w:val="000000"/>
                <w:sz w:val="32"/>
                <w:szCs w:val="32"/>
              </w:rPr>
              <w:t xml:space="preserve"> </w:t>
            </w:r>
            <w:r>
              <w:rPr>
                <w:rFonts w:ascii="仿宋_GB2312" w:hAnsi="宋体" w:eastAsia="仿宋_GB2312"/>
                <w:color w:val="000000"/>
                <w:sz w:val="32"/>
                <w:szCs w:val="32"/>
              </w:rPr>
              <w:t xml:space="preserve">  </w:t>
            </w:r>
            <w:r>
              <w:rPr>
                <w:rFonts w:hint="eastAsia" w:ascii="仿宋_GB2312" w:hAnsi="宋体" w:eastAsia="仿宋_GB2312"/>
                <w:color w:val="000000"/>
                <w:sz w:val="32"/>
                <w:szCs w:val="32"/>
              </w:rPr>
              <w:t>院发〔</w:t>
            </w:r>
            <w:r>
              <w:rPr>
                <w:rFonts w:hint="eastAsia" w:ascii="仿宋_GB2312" w:eastAsia="仿宋_GB2312"/>
                <w:color w:val="000000"/>
                <w:sz w:val="32"/>
                <w:szCs w:val="32"/>
              </w:rPr>
              <w:t>2022</w:t>
            </w:r>
            <w:r>
              <w:rPr>
                <w:rFonts w:hint="eastAsia" w:ascii="仿宋_GB2312" w:hAnsi="宋体" w:eastAsia="仿宋_GB2312"/>
                <w:color w:val="000000"/>
                <w:sz w:val="32"/>
                <w:szCs w:val="32"/>
              </w:rPr>
              <w:t>〕4</w:t>
            </w:r>
            <w:r>
              <w:rPr>
                <w:rFonts w:ascii="仿宋_GB2312" w:hAnsi="宋体" w:eastAsia="仿宋_GB2312"/>
                <w:color w:val="000000"/>
                <w:sz w:val="32"/>
                <w:szCs w:val="32"/>
              </w:rPr>
              <w:t>7</w:t>
            </w:r>
            <w:r>
              <w:rPr>
                <w:rFonts w:hint="eastAsia" w:ascii="仿宋_GB2312" w:eastAsia="仿宋_GB2312"/>
                <w:color w:val="000000"/>
                <w:sz w:val="32"/>
                <w:szCs w:val="32"/>
              </w:rPr>
              <w:t>号</w:t>
            </w:r>
          </w:p>
        </w:tc>
      </w:tr>
    </w:tbl>
    <w:p>
      <w:pPr>
        <w:spacing w:line="560" w:lineRule="exact"/>
        <w:jc w:val="center"/>
        <w:rPr>
          <w:rFonts w:ascii="方正小标宋简体" w:hAnsi="宋体" w:eastAsia="方正小标宋简体" w:cs="宋体"/>
          <w:bCs/>
          <w:sz w:val="44"/>
          <w:szCs w:val="44"/>
        </w:rPr>
      </w:pPr>
    </w:p>
    <w:p>
      <w:pPr>
        <w:spacing w:line="560" w:lineRule="exact"/>
        <w:jc w:val="center"/>
        <w:rPr>
          <w:rFonts w:ascii="方正小标宋简体" w:hAnsi="宋体" w:eastAsia="方正小标宋简体" w:cs="宋体"/>
          <w:sz w:val="44"/>
          <w:szCs w:val="44"/>
        </w:rPr>
      </w:pPr>
      <w:r>
        <w:pict>
          <v:line id="直接连接符 1" o:spid="_x0000_s1026" o:spt="20" style="position:absolute;left:0pt;margin-left:-8.4pt;margin-top:245.7pt;height:0pt;width:0.0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">
            <v:path arrowok="t"/>
            <v:fill focussize="0,0"/>
            <v:stroke/>
            <v:imagedata o:title=""/>
            <o:lock v:ext="edit"/>
          </v:line>
        </w:pict>
      </w:r>
      <w:r>
        <w:rPr>
          <w:rFonts w:hint="eastAsia" w:ascii="方正小标宋简体" w:hAnsi="宋体" w:eastAsia="方正小标宋简体" w:cs="宋体"/>
          <w:bCs/>
          <w:sz w:val="44"/>
          <w:szCs w:val="44"/>
        </w:rPr>
        <w:t>关于印发《</w:t>
      </w:r>
      <w:r>
        <w:rPr>
          <w:rFonts w:hint="eastAsia" w:ascii="方正小标宋简体" w:hAnsi="宋体" w:eastAsia="方正小标宋简体" w:cs="宋体"/>
          <w:sz w:val="44"/>
          <w:szCs w:val="44"/>
        </w:rPr>
        <w:t>北京青年政治学院科研项目经费支出实施细则</w:t>
      </w:r>
      <w:r>
        <w:rPr>
          <w:rFonts w:hint="eastAsia" w:ascii="方正小标宋简体" w:hAnsi="宋体" w:eastAsia="方正小标宋简体" w:cs="宋体"/>
          <w:bCs/>
          <w:sz w:val="44"/>
          <w:szCs w:val="44"/>
        </w:rPr>
        <w:t>》的通知</w:t>
      </w:r>
    </w:p>
    <w:p>
      <w:pPr>
        <w:spacing w:line="560" w:lineRule="exact"/>
        <w:ind w:firstLine="640" w:firstLineChars="200"/>
        <w:rPr>
          <w:rFonts w:ascii="仿宋_GB2312" w:hAnsi="Calibri" w:eastAsia="仿宋_GB2312"/>
          <w:sz w:val="32"/>
          <w:szCs w:val="32"/>
        </w:rPr>
      </w:pPr>
    </w:p>
    <w:p>
      <w:pPr>
        <w:spacing w:line="600" w:lineRule="exact"/>
        <w:rPr>
          <w:rFonts w:ascii="楷体_GB2312" w:hAnsi="宋体" w:eastAsia="楷体_GB2312"/>
          <w:sz w:val="32"/>
          <w:szCs w:val="32"/>
        </w:rPr>
      </w:pPr>
      <w:r>
        <w:rPr>
          <w:rFonts w:hint="eastAsia" w:ascii="楷体_GB2312" w:hAnsi="宋体" w:eastAsia="楷体_GB2312"/>
          <w:sz w:val="32"/>
          <w:szCs w:val="32"/>
        </w:rPr>
        <w:t>各部门</w:t>
      </w:r>
      <w:r>
        <w:rPr>
          <w:rFonts w:ascii="楷体_GB2312" w:hAnsi="宋体" w:eastAsia="楷体_GB2312"/>
          <w:sz w:val="32"/>
          <w:szCs w:val="32"/>
        </w:rPr>
        <w:t>、</w:t>
      </w:r>
      <w:r>
        <w:rPr>
          <w:rFonts w:hint="eastAsia" w:ascii="楷体_GB2312" w:hAnsi="宋体" w:eastAsia="楷体_GB2312"/>
          <w:sz w:val="32"/>
          <w:szCs w:val="32"/>
        </w:rPr>
        <w:t>单位:</w:t>
      </w:r>
    </w:p>
    <w:p>
      <w:pPr>
        <w:spacing w:line="600" w:lineRule="exact"/>
        <w:ind w:firstLine="640" w:firstLineChars="200"/>
        <w:rPr>
          <w:rFonts w:ascii="楷体_GB2312" w:hAnsi="宋体" w:eastAsia="楷体_GB2312"/>
          <w:sz w:val="32"/>
          <w:szCs w:val="32"/>
        </w:rPr>
      </w:pPr>
      <w:r>
        <w:rPr>
          <w:rFonts w:hint="eastAsia" w:ascii="楷体_GB2312" w:hAnsi="宋体" w:eastAsia="楷体_GB2312"/>
          <w:sz w:val="32"/>
          <w:szCs w:val="32"/>
        </w:rPr>
        <w:t>《北京青年政治学院科研项目经费支出实施细则》经2</w:t>
      </w:r>
      <w:r>
        <w:rPr>
          <w:rFonts w:ascii="楷体_GB2312" w:hAnsi="宋体" w:eastAsia="楷体_GB2312"/>
          <w:sz w:val="32"/>
          <w:szCs w:val="32"/>
        </w:rPr>
        <w:t>022</w:t>
      </w:r>
      <w:r>
        <w:rPr>
          <w:rFonts w:hint="eastAsia" w:ascii="楷体_GB2312" w:hAnsi="宋体" w:eastAsia="楷体_GB2312"/>
          <w:sz w:val="32"/>
          <w:szCs w:val="32"/>
        </w:rPr>
        <w:t>年第11次院长办公会审议通过，现印发给你们，请认真遵照执行。</w:t>
      </w:r>
    </w:p>
    <w:p>
      <w:pPr>
        <w:spacing w:line="560" w:lineRule="exact"/>
        <w:ind w:firstLine="640" w:firstLineChars="200"/>
        <w:jc w:val="left"/>
        <w:rPr>
          <w:rFonts w:ascii="仿宋_GB2312" w:hAnsi="Calibri" w:eastAsia="仿宋_GB2312"/>
          <w:sz w:val="32"/>
          <w:szCs w:val="32"/>
        </w:rPr>
      </w:pPr>
    </w:p>
    <w:p>
      <w:pPr>
        <w:spacing w:line="560" w:lineRule="exact"/>
        <w:ind w:left="3559" w:leftChars="1695" w:firstLine="1440" w:firstLineChars="450"/>
        <w:jc w:val="left"/>
        <w:rPr>
          <w:rFonts w:ascii="仿宋_GB2312" w:hAnsi="Calibri" w:eastAsia="仿宋_GB2312"/>
          <w:sz w:val="32"/>
          <w:szCs w:val="32"/>
        </w:rPr>
      </w:pPr>
    </w:p>
    <w:p>
      <w:pPr>
        <w:spacing w:line="560" w:lineRule="exact"/>
        <w:ind w:left="3559" w:leftChars="1695" w:firstLine="1440" w:firstLineChars="450"/>
        <w:jc w:val="left"/>
        <w:rPr>
          <w:rFonts w:ascii="仿宋_GB2312" w:hAnsi="Calibri" w:eastAsia="仿宋_GB2312"/>
          <w:sz w:val="32"/>
          <w:szCs w:val="32"/>
        </w:rPr>
      </w:pPr>
    </w:p>
    <w:p>
      <w:pPr>
        <w:spacing w:line="560" w:lineRule="exact"/>
        <w:ind w:left="3559" w:leftChars="1695" w:firstLine="1440" w:firstLineChars="450"/>
        <w:jc w:val="left"/>
        <w:rPr>
          <w:rFonts w:ascii="楷体_GB2312" w:hAnsi="宋体" w:eastAsia="楷体_GB2312"/>
          <w:sz w:val="32"/>
          <w:szCs w:val="32"/>
        </w:rPr>
      </w:pPr>
      <w:r>
        <w:rPr>
          <w:rFonts w:hint="eastAsia" w:ascii="楷体_GB2312" w:hAnsi="宋体" w:eastAsia="楷体_GB2312"/>
          <w:sz w:val="32"/>
          <w:szCs w:val="32"/>
        </w:rPr>
        <w:t>北京青年政治学院</w:t>
      </w:r>
    </w:p>
    <w:p>
      <w:pPr>
        <w:spacing w:line="560" w:lineRule="exact"/>
        <w:ind w:firstLine="5120" w:firstLineChars="1600"/>
        <w:jc w:val="left"/>
        <w:rPr>
          <w:rFonts w:ascii="方正小标宋简体" w:eastAsia="方正小标宋简体"/>
          <w:sz w:val="44"/>
          <w:szCs w:val="44"/>
        </w:rPr>
      </w:pPr>
      <w:r>
        <w:rPr>
          <w:rFonts w:hint="eastAsia" w:ascii="楷体_GB2312" w:hAnsi="宋体" w:eastAsia="楷体_GB2312"/>
          <w:sz w:val="32"/>
          <w:szCs w:val="32"/>
        </w:rPr>
        <w:t>2022年6月</w:t>
      </w:r>
      <w:r>
        <w:rPr>
          <w:rFonts w:ascii="楷体_GB2312" w:hAnsi="宋体" w:eastAsia="楷体_GB2312"/>
          <w:sz w:val="32"/>
          <w:szCs w:val="32"/>
        </w:rPr>
        <w:t>7</w:t>
      </w:r>
      <w:r>
        <w:rPr>
          <w:rFonts w:hint="eastAsia" w:ascii="楷体_GB2312" w:hAnsi="宋体" w:eastAsia="楷体_GB2312"/>
          <w:sz w:val="32"/>
          <w:szCs w:val="32"/>
        </w:rPr>
        <w:t>日</w:t>
      </w:r>
    </w:p>
    <w:p>
      <w:pPr>
        <w:spacing w:line="560" w:lineRule="exact"/>
        <w:ind w:firstLine="880" w:firstLineChars="200"/>
        <w:jc w:val="left"/>
        <w:rPr>
          <w:rFonts w:ascii="方正小标宋简体" w:eastAsia="方正小标宋简体"/>
          <w:sz w:val="44"/>
          <w:szCs w:val="44"/>
        </w:rPr>
      </w:pPr>
    </w:p>
    <w:p>
      <w:pPr>
        <w:spacing w:line="560" w:lineRule="exact"/>
        <w:jc w:val="center"/>
        <w:rPr>
          <w:rFonts w:ascii="方正小标宋简体" w:eastAsia="方正小标宋简体"/>
          <w:sz w:val="44"/>
          <w:szCs w:val="44"/>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北京青年政治学院</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科研项目经费支出实施细则</w:t>
      </w:r>
    </w:p>
    <w:p>
      <w:pPr>
        <w:spacing w:line="560" w:lineRule="exact"/>
        <w:jc w:val="center"/>
        <w:rPr>
          <w:rFonts w:ascii="方正小标宋简体" w:eastAsia="方正小标宋简体"/>
          <w:sz w:val="44"/>
          <w:szCs w:val="44"/>
        </w:rPr>
      </w:pPr>
    </w:p>
    <w:p>
      <w:pPr>
        <w:jc w:val="center"/>
        <w:rPr>
          <w:rFonts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（2017年5月16日制定，2022年5月25日院长办公会第11次会议第一次修订）</w:t>
      </w:r>
    </w:p>
    <w:p>
      <w:pPr>
        <w:snapToGrid w:val="0"/>
        <w:spacing w:line="360" w:lineRule="auto"/>
        <w:ind w:firstLine="643" w:firstLineChars="200"/>
        <w:rPr>
          <w:rFonts w:ascii="仿宋_GB2312" w:hAnsi="宋体" w:eastAsia="仿宋_GB2312"/>
          <w:b/>
          <w:color w:val="000000"/>
          <w:sz w:val="32"/>
          <w:szCs w:val="32"/>
        </w:rPr>
      </w:pP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第一条　</w:t>
      </w:r>
      <w:r>
        <w:rPr>
          <w:rFonts w:hint="eastAsia" w:ascii="仿宋_GB2312" w:eastAsia="仿宋_GB2312"/>
          <w:sz w:val="32"/>
          <w:szCs w:val="32"/>
        </w:rPr>
        <w:t>为贯彻落实《北京市进一步完善财政科研项目和经费管理的若干政策措施》（京办发〔2016〕36号）、《北京市教育财政科研类项目经费管理办法》（京财教育〔2016〕3001号）《北京青年政治学院科研经费管理办法》（院发〔2022〕4</w:t>
      </w:r>
      <w:r>
        <w:rPr>
          <w:rFonts w:ascii="仿宋_GB2312" w:eastAsia="仿宋_GB2312"/>
          <w:sz w:val="32"/>
          <w:szCs w:val="32"/>
        </w:rPr>
        <w:t>6</w:t>
      </w:r>
      <w:r>
        <w:rPr>
          <w:rFonts w:hint="eastAsia" w:ascii="仿宋_GB2312" w:eastAsia="仿宋_GB2312"/>
          <w:sz w:val="32"/>
          <w:szCs w:val="32"/>
        </w:rPr>
        <w:t>号）等文件精神，加强学校科研经费管理，提高科研经费使用效益，促进学校科研工作健康有序发展，结合学校实际，制定本实施细则。</w:t>
      </w:r>
    </w:p>
    <w:p>
      <w:pPr>
        <w:adjustRightInd w:val="0"/>
        <w:snapToGrid w:val="0"/>
        <w:spacing w:line="560" w:lineRule="exact"/>
        <w:ind w:firstLine="643" w:firstLineChars="200"/>
        <w:rPr>
          <w:rFonts w:ascii="仿宋_GB2312" w:eastAsia="仿宋_GB2312"/>
          <w:sz w:val="32"/>
          <w:szCs w:val="32"/>
        </w:rPr>
      </w:pPr>
      <w:r>
        <w:rPr>
          <w:rFonts w:ascii="仿宋_GB2312" w:hAnsi="Calibri" w:eastAsia="仿宋_GB2312" w:cs="仿宋_GB2312"/>
          <w:b/>
          <w:sz w:val="32"/>
          <w:szCs w:val="32"/>
        </w:rPr>
        <w:t>第</w:t>
      </w:r>
      <w:r>
        <w:rPr>
          <w:rFonts w:hint="eastAsia" w:ascii="仿宋_GB2312" w:hAnsi="Calibri" w:eastAsia="仿宋_GB2312" w:cs="仿宋_GB2312"/>
          <w:b/>
          <w:sz w:val="32"/>
          <w:szCs w:val="32"/>
        </w:rPr>
        <w:t>二</w:t>
      </w:r>
      <w:r>
        <w:rPr>
          <w:rFonts w:ascii="仿宋_GB2312" w:hAnsi="Calibri" w:eastAsia="仿宋_GB2312" w:cs="仿宋_GB2312"/>
          <w:b/>
          <w:sz w:val="32"/>
          <w:szCs w:val="32"/>
        </w:rPr>
        <w:t>条</w:t>
      </w:r>
      <w:r>
        <w:rPr>
          <w:rFonts w:hint="eastAsia" w:ascii="仿宋_GB2312" w:hAnsi="Calibri" w:eastAsia="仿宋_GB2312" w:cs="仿宋_GB2312"/>
          <w:b/>
          <w:sz w:val="32"/>
          <w:szCs w:val="32"/>
        </w:rPr>
        <w:t>　</w:t>
      </w:r>
      <w:r>
        <w:rPr>
          <w:rFonts w:hint="eastAsia" w:ascii="仿宋_GB2312" w:eastAsia="仿宋_GB2312"/>
          <w:sz w:val="32"/>
          <w:szCs w:val="32"/>
        </w:rPr>
        <w:t>科研项目经费支出是指科研项目在组织实施过程中与研究活动相关的、由项目资金作为来源的各项费用支出。</w:t>
      </w:r>
    </w:p>
    <w:p>
      <w:pPr>
        <w:adjustRightInd w:val="0"/>
        <w:snapToGrid w:val="0"/>
        <w:spacing w:line="560" w:lineRule="exact"/>
        <w:ind w:firstLine="643" w:firstLineChars="200"/>
        <w:rPr>
          <w:rFonts w:ascii="仿宋_GB2312" w:hAnsi="Calibri" w:eastAsia="仿宋_GB2312" w:cs="仿宋_GB2312"/>
          <w:sz w:val="32"/>
          <w:szCs w:val="32"/>
        </w:rPr>
      </w:pPr>
      <w:r>
        <w:rPr>
          <w:rFonts w:ascii="仿宋_GB2312" w:hAnsi="Calibri" w:eastAsia="仿宋_GB2312" w:cs="仿宋_GB2312"/>
          <w:b/>
          <w:sz w:val="32"/>
          <w:szCs w:val="32"/>
        </w:rPr>
        <w:t>第</w:t>
      </w:r>
      <w:r>
        <w:rPr>
          <w:rFonts w:hint="eastAsia" w:ascii="仿宋_GB2312" w:hAnsi="Calibri" w:eastAsia="仿宋_GB2312" w:cs="仿宋_GB2312"/>
          <w:b/>
          <w:sz w:val="32"/>
          <w:szCs w:val="32"/>
        </w:rPr>
        <w:t>三</w:t>
      </w:r>
      <w:r>
        <w:rPr>
          <w:rFonts w:ascii="仿宋_GB2312" w:hAnsi="Calibri" w:eastAsia="仿宋_GB2312" w:cs="仿宋_GB2312"/>
          <w:b/>
          <w:sz w:val="32"/>
          <w:szCs w:val="32"/>
        </w:rPr>
        <w:t>条</w:t>
      </w:r>
      <w:r>
        <w:rPr>
          <w:rFonts w:hint="eastAsia" w:ascii="仿宋_GB2312" w:hAnsi="Calibri" w:eastAsia="仿宋_GB2312" w:cs="仿宋_GB2312"/>
          <w:b/>
          <w:sz w:val="32"/>
          <w:szCs w:val="32"/>
        </w:rPr>
        <w:t>　</w:t>
      </w:r>
      <w:r>
        <w:rPr>
          <w:rFonts w:hint="eastAsia" w:ascii="仿宋_GB2312" w:hAnsi="Calibri" w:eastAsia="仿宋_GB2312" w:cs="仿宋_GB2312"/>
          <w:sz w:val="32"/>
          <w:szCs w:val="32"/>
        </w:rPr>
        <w:t>科研项目下达单位对科研项目经费管理有明确规定的，按相关规定执行；没有明确规定的，按本实施细则执行。横向科研项目经费纳入学校财务统一管理，其支付范围和报销标准应严格依照合同约定和经费预算进行使用和管理，但不得违反国家、北京市和学校相关经费管理办法。</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第四条　</w:t>
      </w:r>
      <w:r>
        <w:rPr>
          <w:rFonts w:hint="eastAsia" w:ascii="仿宋_GB2312" w:eastAsia="仿宋_GB2312"/>
          <w:sz w:val="32"/>
          <w:szCs w:val="32"/>
        </w:rPr>
        <w:t>科研项目经费支出范围一般主要包括直接费用和间接费用。</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第五条　</w:t>
      </w:r>
      <w:r>
        <w:rPr>
          <w:rFonts w:hint="eastAsia" w:ascii="仿宋_GB2312" w:eastAsia="仿宋_GB2312"/>
          <w:sz w:val="32"/>
          <w:szCs w:val="32"/>
        </w:rPr>
        <w:t>直接费用是指在项目研究过程中发生的与之直接相关的费用，具体包括：</w:t>
      </w:r>
    </w:p>
    <w:p>
      <w:pPr>
        <w:adjustRightInd w:val="0"/>
        <w:snapToGrid w:val="0"/>
        <w:spacing w:line="560" w:lineRule="exact"/>
        <w:ind w:firstLine="643" w:firstLineChars="200"/>
        <w:rPr>
          <w:rFonts w:ascii="仿宋_GB2312" w:eastAsia="仿宋_GB2312"/>
          <w:sz w:val="32"/>
          <w:szCs w:val="32"/>
          <w:highlight w:val="yellow"/>
        </w:rPr>
      </w:pPr>
      <w:r>
        <w:rPr>
          <w:rFonts w:hint="eastAsia" w:ascii="仿宋_GB2312" w:eastAsia="仿宋_GB2312"/>
          <w:b/>
          <w:bCs/>
          <w:sz w:val="32"/>
          <w:szCs w:val="32"/>
        </w:rPr>
        <w:t>（一）</w:t>
      </w:r>
      <w:r>
        <w:rPr>
          <w:rFonts w:hint="eastAsia" w:ascii="仿宋_GB2312" w:eastAsia="仿宋_GB2312"/>
          <w:sz w:val="32"/>
          <w:szCs w:val="32"/>
        </w:rPr>
        <w:t>资料费：指在项目研究过程中需要支付的电子文献或纸质图书（包括外文图书）购置费，资料收集、整理、复印、翻拍、翻译费，专用软件购买费，文献检索费等。</w:t>
      </w:r>
      <w:r>
        <w:rPr>
          <w:rFonts w:hint="eastAsia" w:ascii="仿宋_GB2312" w:eastAsia="仿宋_GB2312"/>
          <w:sz w:val="32"/>
          <w:szCs w:val="32"/>
          <w:highlight w:val="yellow"/>
        </w:rPr>
        <w:t>各级各类科研项目图书购置费单笔支出不超过800元的，可不办理图书入库手续，填写《北京青年政治学院科研经费购书清单》并由科研处、财务处与项目负责人各执一份，所购置图书归项目组保存使用；超过800元的，图书需要办理入库手续，按照国家及学校国有资产管理的有关规定执行。</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（二）</w:t>
      </w:r>
      <w:r>
        <w:rPr>
          <w:rFonts w:hint="eastAsia" w:ascii="仿宋_GB2312" w:eastAsia="仿宋_GB2312"/>
          <w:sz w:val="32"/>
          <w:szCs w:val="32"/>
        </w:rPr>
        <w:t>材料费：指在项目研究过程中消耗的各种原材料、辅助材料等低值易耗品的费用。根据研究需要，可购买少量用于项目研究的笔墨纸张、硒鼓、U盘、录音笔和移动硬盘等低值易耗品。</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（三）</w:t>
      </w:r>
      <w:r>
        <w:rPr>
          <w:rFonts w:hint="eastAsia" w:ascii="仿宋_GB2312" w:eastAsia="仿宋_GB2312"/>
          <w:sz w:val="32"/>
          <w:szCs w:val="32"/>
        </w:rPr>
        <w:t>数据采集费：指在项目研究过程中开展问卷调查、田野调查、数据购买、数据分析及相应技术服务购买等支出的费用。</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（四）</w:t>
      </w:r>
      <w:r>
        <w:rPr>
          <w:rFonts w:hint="eastAsia" w:ascii="仿宋_GB2312" w:eastAsia="仿宋_GB2312"/>
          <w:sz w:val="32"/>
          <w:szCs w:val="32"/>
        </w:rPr>
        <w:t>差旅费：指在项目研究过程中开展业务调研、学术交流等活动所发生的城市间交通费、住宿费、伙食补助费和市内交通费等。项目组成员乘坐交通工具的等级、住宿费标准按照《北京青年政治学院差旅费管理办法》规定执行，其中正高级专业技术人员参照司局级及相当职务人员标准执行。项目组成员在不影响公务、确保安全的前提下，可以根据需要自行选择交通工具，优先选乘经济便捷的交通工具，选择安全、经济、便捷的宾馆住宿。未按规定等级、标准乘坐交通工具或住宿的，超出部分由个人自理。</w:t>
      </w:r>
      <w:r>
        <w:rPr>
          <w:rFonts w:hint="eastAsia" w:ascii="仿宋_GB2312" w:eastAsia="仿宋_GB2312"/>
          <w:sz w:val="32"/>
          <w:szCs w:val="32"/>
          <w:highlight w:val="yellow"/>
        </w:rPr>
        <w:t>差旅费占项目总经费的比例原则上不超过30%。</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（五）</w:t>
      </w:r>
      <w:r>
        <w:rPr>
          <w:rFonts w:hint="eastAsia" w:ascii="仿宋_GB2312" w:eastAsia="仿宋_GB2312"/>
          <w:sz w:val="32"/>
          <w:szCs w:val="32"/>
        </w:rPr>
        <w:t>会议费：指在项目研究过程中主办或参加学术研讨、咨询论证等活动而发生的费用。主办学术类会议，应按照《北京市市级党政机关事业单位会议费管理办法》（京财预〔2017〕1号）《北京青年政治学院会议管理办法》（院党发〔2016〕63号）规定执行；会议次数、天数、参会人数等应按照学术活动实际情况确定，会期一般不超3天；开支范围包括住宿费、伙食费、会议室租金、交通费、文件印刷费等，综合定额控制在550元/人·天。参加学术类会议，如需缴纳会务费或培训费，原则上每人不超过5000元（不含交通费、住宿费、伙食补助费等）。</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（六）</w:t>
      </w:r>
      <w:r>
        <w:rPr>
          <w:rFonts w:hint="eastAsia" w:ascii="仿宋_GB2312" w:eastAsia="仿宋_GB2312"/>
          <w:sz w:val="32"/>
          <w:szCs w:val="32"/>
        </w:rPr>
        <w:t>国际合作交流费：指在项目研究过程中研究人员赴国外及港澳台地区调研、开展学术交流与合作，以及外国专家来华、港澳台专家来内地开展学术合作与交流的费用。国际合作交流必须与科研项目具有相关性，且只适用于项目组成员出国（境），以及外国专家来华、港澳台专家来内地开展学术合作与交流。研究人员出国（境）参加学术交流活动的次数、天数，根据实际需要予以安排，出访所需经费由项目组按照有关规定自行安排和管理。</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（七）</w:t>
      </w:r>
      <w:r>
        <w:rPr>
          <w:rFonts w:hint="eastAsia" w:ascii="仿宋_GB2312" w:eastAsia="仿宋_GB2312"/>
          <w:sz w:val="32"/>
          <w:szCs w:val="32"/>
        </w:rPr>
        <w:t>咨询费：指在项目研究过程中发生的支付给临时聘请的专家的咨询费用。综合考虑咨询专家的职称职务级别、工作内容、难易程度等，确定咨询费额度，原则上每人每次不超过3000元。</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（八）</w:t>
      </w:r>
      <w:r>
        <w:rPr>
          <w:rFonts w:hint="eastAsia" w:ascii="仿宋_GB2312" w:eastAsia="仿宋_GB2312"/>
          <w:sz w:val="32"/>
          <w:szCs w:val="32"/>
        </w:rPr>
        <w:t>劳务费：指在项目研究过程中支付给参与项目研究的学生以及临时聘用人员等的劳务性费用。其中，单一项目在校学生劳务费每人每月不超过</w:t>
      </w:r>
      <w:r>
        <w:rPr>
          <w:rFonts w:ascii="仿宋_GB2312" w:eastAsia="仿宋_GB2312"/>
          <w:sz w:val="32"/>
          <w:szCs w:val="32"/>
        </w:rPr>
        <w:t>1</w:t>
      </w:r>
      <w:r>
        <w:rPr>
          <w:rFonts w:hint="eastAsia" w:ascii="仿宋_GB2312" w:eastAsia="仿宋_GB2312"/>
          <w:sz w:val="32"/>
          <w:szCs w:val="32"/>
        </w:rPr>
        <w:t>000元。</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（九）</w:t>
      </w:r>
      <w:r>
        <w:rPr>
          <w:rFonts w:hint="eastAsia" w:ascii="仿宋_GB2312" w:eastAsia="仿宋_GB2312"/>
          <w:sz w:val="32"/>
          <w:szCs w:val="32"/>
        </w:rPr>
        <w:t>印刷出版费：指在项目研究过程中发生的项目研究成果的打印费、印刷费、成果出版费等。每部著作的出版费根据著作出版的出版社、著作字数和学术价值等因素综合确定。五级论文费用每篇不超过0</w:t>
      </w:r>
      <w:r>
        <w:rPr>
          <w:rFonts w:ascii="仿宋_GB2312" w:eastAsia="仿宋_GB2312"/>
          <w:sz w:val="32"/>
          <w:szCs w:val="32"/>
        </w:rPr>
        <w:t>.1</w:t>
      </w:r>
      <w:r>
        <w:rPr>
          <w:rFonts w:hint="eastAsia" w:ascii="仿宋_GB2312" w:eastAsia="仿宋_GB2312"/>
          <w:sz w:val="32"/>
          <w:szCs w:val="32"/>
        </w:rPr>
        <w:t>万元，四级及以上论文每篇不超过</w:t>
      </w:r>
      <w:r>
        <w:rPr>
          <w:rFonts w:ascii="仿宋_GB2312" w:eastAsia="仿宋_GB2312"/>
          <w:sz w:val="32"/>
          <w:szCs w:val="32"/>
        </w:rPr>
        <w:t>0.5</w:t>
      </w:r>
      <w:r>
        <w:rPr>
          <w:rFonts w:hint="eastAsia" w:ascii="仿宋_GB2312" w:eastAsia="仿宋_GB2312"/>
          <w:sz w:val="32"/>
          <w:szCs w:val="32"/>
        </w:rPr>
        <w:t>万元。其中，出版学术著作、在国外期刊发表学术论文须经科研处事前审批，核准后方可执行，否则不予报销。</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（十）</w:t>
      </w:r>
      <w:r>
        <w:rPr>
          <w:rFonts w:hint="eastAsia" w:ascii="仿宋_GB2312" w:eastAsia="仿宋_GB2312"/>
          <w:sz w:val="32"/>
          <w:szCs w:val="32"/>
        </w:rPr>
        <w:t>信息传播宣传费：指学校根据事业发展需要进行科研成果宣传推广而发生的费用，参照市场价格确定，支付标准适当放宽。</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（十一）</w:t>
      </w:r>
      <w:r>
        <w:rPr>
          <w:rFonts w:hint="eastAsia" w:ascii="仿宋_GB2312" w:eastAsia="仿宋_GB2312"/>
          <w:sz w:val="32"/>
          <w:szCs w:val="32"/>
        </w:rPr>
        <w:t>其他费用：指在项目研究过程中发生的除上述费用之外的其他必要支出，包括邮寄费、通信费、北京地区交通费和租车费等。租车开展科研活动的，需要签订租车合同。其</w:t>
      </w:r>
      <w:bookmarkStart w:id="0" w:name="_GoBack"/>
      <w:bookmarkEnd w:id="0"/>
      <w:r>
        <w:rPr>
          <w:rFonts w:hint="eastAsia" w:ascii="仿宋_GB2312" w:eastAsia="仿宋_GB2312"/>
          <w:sz w:val="32"/>
          <w:szCs w:val="32"/>
        </w:rPr>
        <w:t>中，北京地区交通费占项目总经费的比例原则上不超过10%。</w:t>
      </w:r>
    </w:p>
    <w:p>
      <w:pPr>
        <w:adjustRightInd w:val="0"/>
        <w:snapToGrid w:val="0"/>
        <w:spacing w:line="560" w:lineRule="exact"/>
        <w:ind w:firstLine="643" w:firstLineChars="200"/>
        <w:rPr>
          <w:rFonts w:ascii="仿宋_GB2312" w:hAnsi="Calibri" w:eastAsia="仿宋_GB2312" w:cs="仿宋_GB2312"/>
          <w:sz w:val="32"/>
          <w:szCs w:val="32"/>
        </w:rPr>
      </w:pPr>
      <w:r>
        <w:rPr>
          <w:rFonts w:hint="eastAsia" w:ascii="仿宋_GB2312" w:eastAsia="仿宋_GB2312"/>
          <w:b/>
          <w:bCs/>
          <w:sz w:val="32"/>
          <w:szCs w:val="32"/>
        </w:rPr>
        <w:t>第六条　</w:t>
      </w:r>
      <w:r>
        <w:rPr>
          <w:rFonts w:hint="eastAsia" w:ascii="仿宋_GB2312" w:hAnsi="Calibri" w:eastAsia="仿宋_GB2312" w:cs="仿宋_GB2312"/>
          <w:sz w:val="32"/>
          <w:szCs w:val="32"/>
        </w:rPr>
        <w:t>间接费用是指在科研项目组织实施过程中发生的无法在直接费用中列支的相关费用，主要是为提高项目组成员科研工作效率而安排的绩效支出。间接费用不纳入学校绩效工资总额。</w:t>
      </w:r>
    </w:p>
    <w:p>
      <w:pPr>
        <w:adjustRightInd w:val="0"/>
        <w:snapToGrid w:val="0"/>
        <w:spacing w:line="560" w:lineRule="exact"/>
        <w:ind w:firstLine="643" w:firstLineChars="200"/>
        <w:rPr>
          <w:rFonts w:ascii="仿宋_GB2312" w:hAnsi="Calibri" w:eastAsia="仿宋_GB2312" w:cs="仿宋_GB2312"/>
          <w:sz w:val="32"/>
          <w:szCs w:val="32"/>
        </w:rPr>
      </w:pPr>
      <w:r>
        <w:rPr>
          <w:rFonts w:hint="eastAsia" w:ascii="仿宋_GB2312" w:eastAsia="仿宋_GB2312"/>
          <w:b/>
          <w:bCs/>
          <w:sz w:val="32"/>
          <w:szCs w:val="32"/>
        </w:rPr>
        <w:t>（一）</w:t>
      </w:r>
      <w:r>
        <w:rPr>
          <w:rFonts w:hint="eastAsia" w:ascii="仿宋_GB2312" w:eastAsia="仿宋_GB2312"/>
          <w:bCs/>
          <w:sz w:val="32"/>
          <w:szCs w:val="32"/>
        </w:rPr>
        <w:t>科研项目下达单位对间接费用的支出有明确规定的，按相关规定执行；没有明确规定的，按本实施细则执行。</w:t>
      </w:r>
    </w:p>
    <w:p>
      <w:pPr>
        <w:adjustRightInd w:val="0"/>
        <w:snapToGrid w:val="0"/>
        <w:spacing w:line="560" w:lineRule="exact"/>
        <w:ind w:firstLine="640" w:firstLineChars="200"/>
        <w:rPr>
          <w:rFonts w:ascii="仿宋_GB2312" w:eastAsia="仿宋_GB2312"/>
          <w:bCs/>
          <w:sz w:val="32"/>
          <w:szCs w:val="32"/>
        </w:rPr>
      </w:pPr>
      <w:r>
        <w:rPr>
          <w:rFonts w:hint="eastAsia" w:ascii="仿宋_GB2312" w:eastAsia="仿宋_GB2312"/>
          <w:bCs/>
          <w:sz w:val="32"/>
          <w:szCs w:val="32"/>
        </w:rPr>
        <w:t>（二）科研项目负责人自主合理支配间接费用。项目负责人应根据本人及项目组成员的实际贡献，结合科研项目研究进度和完成质量，合理、合规确定发放额度。</w:t>
      </w:r>
    </w:p>
    <w:p>
      <w:pPr>
        <w:adjustRightInd w:val="0"/>
        <w:snapToGrid w:val="0"/>
        <w:spacing w:line="560" w:lineRule="exact"/>
        <w:ind w:firstLine="640" w:firstLineChars="200"/>
        <w:rPr>
          <w:rFonts w:ascii="仿宋_GB2312" w:eastAsia="仿宋_GB2312"/>
          <w:bCs/>
          <w:sz w:val="32"/>
          <w:szCs w:val="32"/>
        </w:rPr>
      </w:pPr>
      <w:r>
        <w:rPr>
          <w:rFonts w:hint="eastAsia" w:ascii="仿宋_GB2312" w:eastAsia="仿宋_GB2312"/>
          <w:bCs/>
          <w:sz w:val="32"/>
          <w:szCs w:val="32"/>
        </w:rPr>
        <w:t>（三）科研项目负责人填写《北京青年政治学院科研项目间接费用发放申请表》，报科研处、财务处核准后发放。</w:t>
      </w:r>
    </w:p>
    <w:p>
      <w:pPr>
        <w:adjustRightInd w:val="0"/>
        <w:snapToGrid w:val="0"/>
        <w:spacing w:line="560" w:lineRule="exact"/>
        <w:ind w:firstLine="640" w:firstLineChars="200"/>
        <w:rPr>
          <w:rFonts w:ascii="仿宋_GB2312" w:eastAsia="仿宋_GB2312"/>
          <w:bCs/>
          <w:sz w:val="32"/>
          <w:szCs w:val="32"/>
        </w:rPr>
      </w:pPr>
      <w:r>
        <w:rPr>
          <w:rFonts w:hint="eastAsia" w:ascii="仿宋_GB2312" w:eastAsia="仿宋_GB2312"/>
          <w:bCs/>
          <w:sz w:val="32"/>
          <w:szCs w:val="32"/>
        </w:rPr>
        <w:t>（四）间接费用支出只能用于项目组成员，不得截留、挪用。</w:t>
      </w:r>
    </w:p>
    <w:p>
      <w:pPr>
        <w:adjustRightInd w:val="0"/>
        <w:snapToGrid w:val="0"/>
        <w:spacing w:line="560" w:lineRule="exact"/>
        <w:ind w:firstLine="643" w:firstLineChars="200"/>
        <w:rPr>
          <w:rFonts w:ascii="仿宋_GB2312" w:eastAsia="仿宋_GB2312"/>
          <w:bCs/>
          <w:sz w:val="32"/>
          <w:szCs w:val="32"/>
        </w:rPr>
      </w:pPr>
      <w:r>
        <w:rPr>
          <w:rFonts w:hint="eastAsia" w:ascii="仿宋_GB2312" w:eastAsia="仿宋_GB2312"/>
          <w:b/>
          <w:bCs/>
          <w:sz w:val="32"/>
          <w:szCs w:val="32"/>
        </w:rPr>
        <w:t>第七条</w:t>
      </w:r>
      <w:r>
        <w:rPr>
          <w:rFonts w:hint="eastAsia" w:ascii="仿宋_GB2312" w:eastAsia="仿宋_GB2312"/>
          <w:bCs/>
          <w:sz w:val="32"/>
          <w:szCs w:val="32"/>
        </w:rPr>
        <w:t>　科研项目经费的调剂权限由学院科研处、财务处核准。在科研项目总预算不变的情况下，直接费用中的资料费、材料费、数据采集费、印刷出版费及其他费用如需调整，可由项目负责人根据需要填写《北京青年政治学院科研项目经费预算调整申请表》报科研处、财务处核准，验收（结题）时向主管部门备案。差旅费、会议费、国际合作交流费、咨询费、劳务费可以调减，不得调增。间接费用不得调增。</w:t>
      </w:r>
    </w:p>
    <w:p>
      <w:pPr>
        <w:adjustRightInd w:val="0"/>
        <w:snapToGrid w:val="0"/>
        <w:spacing w:line="560" w:lineRule="exact"/>
        <w:ind w:firstLine="643" w:firstLineChars="200"/>
        <w:rPr>
          <w:rFonts w:ascii="仿宋_GB2312" w:hAnsi="Calibri" w:eastAsia="仿宋_GB2312" w:cs="仿宋_GB2312"/>
          <w:sz w:val="32"/>
          <w:szCs w:val="32"/>
        </w:rPr>
      </w:pPr>
      <w:r>
        <w:rPr>
          <w:rFonts w:hint="eastAsia" w:ascii="仿宋_GB2312" w:eastAsia="仿宋_GB2312"/>
          <w:b/>
          <w:sz w:val="32"/>
          <w:szCs w:val="32"/>
        </w:rPr>
        <w:t>第</w:t>
      </w:r>
      <w:r>
        <w:rPr>
          <w:rFonts w:hint="eastAsia" w:ascii="仿宋_GB2312" w:eastAsia="仿宋_GB2312"/>
          <w:b/>
          <w:bCs/>
          <w:sz w:val="32"/>
          <w:szCs w:val="32"/>
        </w:rPr>
        <w:t>八</w:t>
      </w:r>
      <w:r>
        <w:rPr>
          <w:rFonts w:hint="eastAsia" w:ascii="仿宋_GB2312" w:eastAsia="仿宋_GB2312"/>
          <w:b/>
          <w:sz w:val="32"/>
          <w:szCs w:val="32"/>
        </w:rPr>
        <w:t>条</w:t>
      </w:r>
      <w:r>
        <w:rPr>
          <w:rFonts w:hint="eastAsia" w:ascii="仿宋_GB2312" w:eastAsia="仿宋_GB2312"/>
          <w:sz w:val="32"/>
          <w:szCs w:val="32"/>
        </w:rPr>
        <w:t xml:space="preserve">  </w:t>
      </w:r>
      <w:r>
        <w:rPr>
          <w:rFonts w:hint="eastAsia" w:ascii="仿宋_GB2312" w:hAnsi="Calibri" w:eastAsia="仿宋_GB2312" w:cs="仿宋_GB2312"/>
          <w:sz w:val="32"/>
          <w:szCs w:val="32"/>
        </w:rPr>
        <w:t>严格控制劳务性费用支出。原则上，经费预算中“咨询费”与“劳务费”之和占项目总经费的比例，</w:t>
      </w:r>
      <w:r>
        <w:rPr>
          <w:rFonts w:hint="eastAsia" w:ascii="仿宋_GB2312" w:hAnsi="Calibri" w:eastAsia="仿宋_GB2312" w:cs="仿宋_GB2312"/>
          <w:sz w:val="32"/>
          <w:szCs w:val="32"/>
          <w:highlight w:val="yellow"/>
        </w:rPr>
        <w:t>校级科研项目不超过20%，纵向科研项目不超过40%，横向科研项目不超过60%。</w:t>
      </w:r>
      <w:r>
        <w:rPr>
          <w:rFonts w:hint="eastAsia" w:ascii="仿宋_GB2312" w:hAnsi="Calibri" w:eastAsia="仿宋_GB2312" w:cs="仿宋_GB2312"/>
          <w:sz w:val="32"/>
          <w:szCs w:val="32"/>
        </w:rPr>
        <w:t>科研项目负责人应在结题时提供《北京青年政治学院科研项目劳务酬金发放台账》，必要时需提供相关支撑材料。项目负责人对相关人员为项目工作的数量、质量等与所付酬金的一致性、真实性负责。课题组不得向课题组成员的亲属、与科研项目无关的校内教职工的亲属发放劳务费、咨询费。向与科研项目有关的校内教职工的亲属发放劳务费、咨询费，须经二级单位党政联席会议同意、科研处核准备案后方可执行。科研处将会同相关职能部门不定期进行查验审核。</w:t>
      </w:r>
    </w:p>
    <w:p>
      <w:pPr>
        <w:adjustRightInd w:val="0"/>
        <w:snapToGrid w:val="0"/>
        <w:spacing w:line="560" w:lineRule="exact"/>
        <w:ind w:firstLine="643" w:firstLineChars="200"/>
        <w:rPr>
          <w:rFonts w:ascii="仿宋_GB2312" w:eastAsia="仿宋_GB2312"/>
          <w:bCs/>
          <w:sz w:val="32"/>
          <w:szCs w:val="32"/>
        </w:rPr>
      </w:pPr>
      <w:r>
        <w:rPr>
          <w:rFonts w:hint="eastAsia" w:ascii="仿宋_GB2312" w:eastAsia="仿宋_GB2312"/>
          <w:b/>
          <w:bCs/>
          <w:sz w:val="32"/>
          <w:szCs w:val="32"/>
        </w:rPr>
        <w:t>第九条</w:t>
      </w:r>
      <w:r>
        <w:rPr>
          <w:rFonts w:hint="eastAsia" w:ascii="仿宋_GB2312" w:eastAsia="仿宋_GB2312"/>
          <w:bCs/>
          <w:sz w:val="32"/>
          <w:szCs w:val="32"/>
        </w:rPr>
        <w:t>　科研项目经费要坚持勤俭节约，合理安排支出，提高资金使用效益。科研经费不得用于支付各种罚款、捐款、赞助、投资等支出，不得用于各种福利性支出等其他支出，</w:t>
      </w:r>
      <w:r>
        <w:rPr>
          <w:rFonts w:hint="eastAsia" w:ascii="仿宋_GB2312" w:hAnsi="Calibri" w:eastAsia="仿宋_GB2312" w:cs="仿宋_GB2312"/>
          <w:sz w:val="32"/>
          <w:szCs w:val="32"/>
        </w:rPr>
        <w:t>不得以“预存”等方式套取会议费。</w:t>
      </w:r>
    </w:p>
    <w:p>
      <w:pPr>
        <w:adjustRightInd w:val="0"/>
        <w:snapToGrid w:val="0"/>
        <w:spacing w:line="560" w:lineRule="exact"/>
        <w:ind w:firstLine="643" w:firstLineChars="200"/>
        <w:rPr>
          <w:rFonts w:ascii="仿宋_GB2312" w:eastAsia="仿宋_GB2312"/>
          <w:bCs/>
          <w:sz w:val="32"/>
          <w:szCs w:val="32"/>
        </w:rPr>
      </w:pPr>
      <w:r>
        <w:rPr>
          <w:rFonts w:hint="eastAsia" w:ascii="仿宋_GB2312" w:eastAsia="仿宋_GB2312"/>
          <w:b/>
          <w:bCs/>
          <w:sz w:val="32"/>
          <w:szCs w:val="32"/>
        </w:rPr>
        <w:t>第十条</w:t>
      </w:r>
      <w:r>
        <w:rPr>
          <w:rFonts w:hint="eastAsia" w:ascii="仿宋_GB2312" w:eastAsia="仿宋_GB2312"/>
          <w:bCs/>
          <w:sz w:val="32"/>
          <w:szCs w:val="32"/>
        </w:rPr>
        <w:t>　科研处、财务处建立科研项目经费执行进度通报制度，及时将执行情况通知项目负责人。项目负责人根据预算执行进度合理安排支出，最大限度地减少资金的结存结余，提高经费的使用效率。</w:t>
      </w:r>
    </w:p>
    <w:p>
      <w:pPr>
        <w:adjustRightInd w:val="0"/>
        <w:snapToGrid w:val="0"/>
        <w:spacing w:line="560" w:lineRule="exact"/>
        <w:ind w:firstLine="643" w:firstLineChars="200"/>
        <w:rPr>
          <w:rFonts w:ascii="仿宋_GB2312" w:eastAsia="仿宋_GB2312"/>
          <w:bCs/>
          <w:sz w:val="32"/>
          <w:szCs w:val="32"/>
        </w:rPr>
      </w:pPr>
      <w:r>
        <w:rPr>
          <w:rFonts w:hint="eastAsia" w:ascii="仿宋_GB2312" w:eastAsia="仿宋_GB2312"/>
          <w:b/>
          <w:bCs/>
          <w:sz w:val="32"/>
          <w:szCs w:val="32"/>
        </w:rPr>
        <w:t>第十一条</w:t>
      </w:r>
      <w:r>
        <w:rPr>
          <w:rFonts w:hint="eastAsia" w:ascii="仿宋_GB2312" w:eastAsia="仿宋_GB2312"/>
          <w:bCs/>
          <w:sz w:val="32"/>
          <w:szCs w:val="32"/>
        </w:rPr>
        <w:t>　科研项目完成后，项目负责人应对科研项目经费进行结算，如实编制科研项目经费决算表，接受项目主管部门的检查。凡项目主管部门有审计要求的，项目组须配合做好各级各类审计工作。</w:t>
      </w:r>
    </w:p>
    <w:p>
      <w:pPr>
        <w:adjustRightInd w:val="0"/>
        <w:snapToGrid w:val="0"/>
        <w:spacing w:line="560" w:lineRule="exact"/>
        <w:ind w:firstLine="643" w:firstLineChars="200"/>
        <w:rPr>
          <w:rFonts w:ascii="仿宋_GB2312" w:eastAsia="仿宋_GB2312"/>
          <w:bCs/>
          <w:sz w:val="32"/>
          <w:szCs w:val="32"/>
        </w:rPr>
      </w:pPr>
      <w:r>
        <w:rPr>
          <w:rFonts w:hint="eastAsia" w:ascii="仿宋_GB2312" w:eastAsia="仿宋_GB2312"/>
          <w:b/>
          <w:bCs/>
          <w:sz w:val="32"/>
          <w:szCs w:val="32"/>
        </w:rPr>
        <w:t>第十二条</w:t>
      </w:r>
      <w:r>
        <w:rPr>
          <w:rFonts w:hint="eastAsia" w:ascii="仿宋_GB2312" w:eastAsia="仿宋_GB2312"/>
          <w:bCs/>
          <w:sz w:val="32"/>
          <w:szCs w:val="32"/>
        </w:rPr>
        <w:t>　通过验收的科研项目，如项目来源单位对结余经费有明确规定的，按照来源单位相关规定执行；没有明确规定的，项目结余经费归项目负责人使用，在两年内可用于科研活动的直接支出；两年后未使用完的，由学校全额收回并统筹安排用于资助科研活动。科研项目终止或未通过验收的，项目结余经费按照上级主管部门或学校的相关要求办理。</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第</w:t>
      </w:r>
      <w:r>
        <w:rPr>
          <w:rFonts w:hint="eastAsia" w:ascii="仿宋_GB2312" w:eastAsia="仿宋_GB2312"/>
          <w:b/>
          <w:sz w:val="32"/>
          <w:szCs w:val="32"/>
        </w:rPr>
        <w:t>十三</w:t>
      </w:r>
      <w:r>
        <w:rPr>
          <w:rFonts w:hint="eastAsia" w:ascii="仿宋_GB2312" w:eastAsia="仿宋_GB2312"/>
          <w:b/>
          <w:bCs/>
          <w:sz w:val="32"/>
          <w:szCs w:val="32"/>
        </w:rPr>
        <w:t>条</w:t>
      </w:r>
      <w:r>
        <w:rPr>
          <w:rFonts w:hint="eastAsia" w:ascii="仿宋_GB2312" w:eastAsia="仿宋_GB2312"/>
          <w:sz w:val="32"/>
          <w:szCs w:val="32"/>
        </w:rPr>
        <w:t>　科研经费支出属于政府采购范围的，应当严格按照政府采购有关规定执行，课题组不能自行购买。由科研经费形成的固定资产和无形资产的使用和处置，应按照国家及学校的有关规定执行。</w:t>
      </w:r>
    </w:p>
    <w:p>
      <w:pPr>
        <w:adjustRightInd w:val="0"/>
        <w:snapToGrid w:val="0"/>
        <w:spacing w:line="560" w:lineRule="exact"/>
        <w:ind w:firstLine="643" w:firstLineChars="200"/>
        <w:rPr>
          <w:rFonts w:ascii="仿宋_GB2312" w:hAnsi="Calibri" w:eastAsia="仿宋_GB2312" w:cs="仿宋_GB2312"/>
          <w:sz w:val="32"/>
          <w:szCs w:val="32"/>
        </w:rPr>
      </w:pPr>
      <w:r>
        <w:rPr>
          <w:rFonts w:hint="eastAsia" w:ascii="仿宋_GB2312" w:hAnsi="Calibri" w:eastAsia="仿宋_GB2312" w:cs="仿宋_GB2312"/>
          <w:b/>
          <w:sz w:val="32"/>
          <w:szCs w:val="32"/>
        </w:rPr>
        <w:t>第十四条</w:t>
      </w:r>
      <w:r>
        <w:rPr>
          <w:rFonts w:hint="eastAsia" w:ascii="仿宋_GB2312" w:hAnsi="Calibri" w:eastAsia="仿宋_GB2312" w:cs="仿宋_GB2312"/>
          <w:sz w:val="32"/>
          <w:szCs w:val="32"/>
        </w:rPr>
        <w:t xml:space="preserve"> </w:t>
      </w:r>
      <w:r>
        <w:rPr>
          <w:rFonts w:hint="eastAsia" w:ascii="仿宋_GB2312" w:hAnsi="Calibri" w:eastAsia="仿宋_GB2312" w:cs="仿宋_GB2312"/>
          <w:color w:val="FF0000"/>
          <w:sz w:val="32"/>
          <w:szCs w:val="32"/>
        </w:rPr>
        <w:t xml:space="preserve"> </w:t>
      </w:r>
      <w:r>
        <w:rPr>
          <w:rFonts w:hint="eastAsia" w:ascii="仿宋_GB2312" w:hAnsi="Calibri" w:eastAsia="仿宋_GB2312" w:cs="仿宋_GB2312"/>
          <w:sz w:val="32"/>
          <w:szCs w:val="32"/>
        </w:rPr>
        <w:t>科研经费支出实行项目负责人制和分级审批制。单笔支出1万元（含）以内，项目负责人签字报销；单笔支出1万元以上3万元（含）以下，还需项目所属二级单位行政负责人审批；单笔支出3万元以上5万元（含）以下，还需科研处负责人审批；单笔支出5万元以上10万元（含）以下，还需主管科研工作的副院长审批；单笔支出10万元以上，还需主管财务工作的副院长审批。</w:t>
      </w:r>
    </w:p>
    <w:p>
      <w:pPr>
        <w:adjustRightInd w:val="0"/>
        <w:snapToGrid w:val="0"/>
        <w:spacing w:line="560" w:lineRule="exact"/>
        <w:ind w:firstLine="643" w:firstLineChars="200"/>
        <w:rPr>
          <w:rFonts w:ascii="仿宋_GB2312" w:eastAsia="仿宋_GB2312"/>
          <w:sz w:val="32"/>
          <w:szCs w:val="32"/>
        </w:rPr>
      </w:pPr>
      <w:r>
        <w:rPr>
          <w:rFonts w:hint="eastAsia" w:ascii="仿宋_GB2312" w:hAnsi="Calibri" w:eastAsia="仿宋_GB2312" w:cs="仿宋_GB2312"/>
          <w:b/>
          <w:sz w:val="32"/>
          <w:szCs w:val="32"/>
        </w:rPr>
        <w:t>第十五条</w:t>
      </w:r>
      <w:r>
        <w:rPr>
          <w:rFonts w:hint="eastAsia" w:ascii="仿宋_GB2312" w:hAnsi="Calibri" w:eastAsia="仿宋_GB2312" w:cs="仿宋_GB2312"/>
          <w:sz w:val="32"/>
          <w:szCs w:val="32"/>
        </w:rPr>
        <w:t>　学校建立非涉密项目信息公开制度，在内部一定范围内公开项目预算、预算调剂、资金使用（重点是间接费用、外拨资金、结余资金）、研究成果、绩效评价报告等相关信息。</w:t>
      </w:r>
    </w:p>
    <w:p>
      <w:pPr>
        <w:adjustRightInd w:val="0"/>
        <w:snapToGrid w:val="0"/>
        <w:spacing w:line="560" w:lineRule="exact"/>
        <w:ind w:firstLine="643" w:firstLineChars="200"/>
        <w:rPr>
          <w:rFonts w:ascii="仿宋_GB2312" w:hAnsi="Calibri" w:eastAsia="仿宋_GB2312" w:cs="仿宋_GB2312"/>
          <w:sz w:val="32"/>
          <w:szCs w:val="32"/>
        </w:rPr>
      </w:pPr>
      <w:r>
        <w:rPr>
          <w:rFonts w:hint="eastAsia" w:ascii="仿宋_GB2312" w:eastAsia="仿宋_GB2312"/>
          <w:b/>
          <w:bCs/>
          <w:sz w:val="32"/>
          <w:szCs w:val="32"/>
        </w:rPr>
        <w:t xml:space="preserve">第十六条  </w:t>
      </w:r>
      <w:r>
        <w:rPr>
          <w:rFonts w:hint="eastAsia" w:ascii="仿宋_GB2312" w:eastAsia="仿宋_GB2312"/>
          <w:sz w:val="32"/>
          <w:szCs w:val="32"/>
        </w:rPr>
        <w:t>本实施细则由科研处、财务处负责解释。</w:t>
      </w:r>
    </w:p>
    <w:p>
      <w:pPr>
        <w:adjustRightInd w:val="0"/>
        <w:snapToGrid w:val="0"/>
        <w:spacing w:line="560" w:lineRule="exact"/>
        <w:ind w:firstLine="643" w:firstLineChars="200"/>
        <w:rPr>
          <w:rFonts w:ascii="仿宋_GB2312" w:eastAsia="仿宋_GB2312"/>
          <w:sz w:val="32"/>
          <w:szCs w:val="32"/>
        </w:rPr>
      </w:pPr>
      <w:r>
        <w:rPr>
          <w:rFonts w:ascii="仿宋_GB2312" w:hAnsi="Calibri" w:eastAsia="仿宋_GB2312" w:cs="仿宋_GB2312"/>
          <w:b/>
          <w:sz w:val="32"/>
          <w:szCs w:val="32"/>
        </w:rPr>
        <w:t>第</w:t>
      </w:r>
      <w:r>
        <w:rPr>
          <w:rFonts w:hint="eastAsia" w:ascii="仿宋_GB2312" w:hAnsi="Calibri" w:eastAsia="仿宋_GB2312" w:cs="仿宋_GB2312"/>
          <w:b/>
          <w:sz w:val="32"/>
          <w:szCs w:val="32"/>
        </w:rPr>
        <w:t>十七</w:t>
      </w:r>
      <w:r>
        <w:rPr>
          <w:rFonts w:ascii="仿宋_GB2312" w:hAnsi="Calibri" w:eastAsia="仿宋_GB2312" w:cs="仿宋_GB2312"/>
          <w:b/>
          <w:sz w:val="32"/>
          <w:szCs w:val="32"/>
        </w:rPr>
        <w:t xml:space="preserve">条  </w:t>
      </w:r>
      <w:r>
        <w:rPr>
          <w:rFonts w:hint="eastAsia" w:ascii="仿宋_GB2312" w:hAnsi="Calibri" w:eastAsia="仿宋_GB2312" w:cs="仿宋_GB2312"/>
          <w:sz w:val="32"/>
          <w:szCs w:val="32"/>
        </w:rPr>
        <w:t>本实施细则自公布之日起施行。2022 年及以后年度立项的各级各类科研项目适用本实施细则。</w:t>
      </w:r>
    </w:p>
    <w:p>
      <w:pPr>
        <w:adjustRightInd w:val="0"/>
        <w:snapToGrid w:val="0"/>
        <w:spacing w:line="560" w:lineRule="exact"/>
        <w:ind w:firstLine="640" w:firstLineChars="200"/>
        <w:rPr>
          <w:rFonts w:ascii="仿宋_GB2312" w:eastAsia="仿宋_GB2312"/>
          <w:sz w:val="32"/>
          <w:szCs w:val="32"/>
        </w:rPr>
      </w:pPr>
    </w:p>
    <w:p>
      <w:pPr>
        <w:adjustRightInd w:val="0"/>
        <w:snapToGrid w:val="0"/>
        <w:spacing w:line="560" w:lineRule="exact"/>
        <w:ind w:firstLine="640" w:firstLineChars="200"/>
        <w:rPr>
          <w:rFonts w:ascii="仿宋_GB2312" w:hAnsi="Calibri" w:eastAsia="仿宋_GB2312" w:cs="仿宋_GB2312"/>
          <w:sz w:val="32"/>
          <w:szCs w:val="32"/>
        </w:rPr>
      </w:pPr>
    </w:p>
    <w:p/>
    <w:tbl>
      <w:tblPr>
        <w:tblStyle w:val="10"/>
        <w:tblpPr w:leftFromText="180" w:rightFromText="180" w:vertAnchor="page" w:horzAnchor="margin" w:tblpY="14267"/>
        <w:tblW w:w="8844"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844"/>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c>
          <w:tcPr>
            <w:tcW w:w="8844" w:type="dxa"/>
          </w:tcPr>
          <w:p>
            <w:pPr>
              <w:ind w:firstLine="140" w:firstLineChars="50"/>
              <w:rPr>
                <w:sz w:val="28"/>
                <w:szCs w:val="28"/>
              </w:rPr>
            </w:pPr>
            <w:r>
              <w:rPr>
                <w:rFonts w:hint="eastAsia" w:ascii="仿宋_GB2312" w:eastAsia="仿宋_GB2312"/>
                <w:sz w:val="28"/>
                <w:szCs w:val="28"/>
              </w:rPr>
              <w:t>党政办公室                               202</w:t>
            </w:r>
            <w:r>
              <w:rPr>
                <w:rFonts w:ascii="仿宋_GB2312" w:eastAsia="仿宋_GB2312"/>
                <w:sz w:val="28"/>
                <w:szCs w:val="28"/>
              </w:rPr>
              <w:t>2</w:t>
            </w:r>
            <w:r>
              <w:rPr>
                <w:rFonts w:hint="eastAsia" w:ascii="仿宋_GB2312" w:eastAsia="仿宋_GB2312"/>
                <w:sz w:val="28"/>
                <w:szCs w:val="28"/>
              </w:rPr>
              <w:t>年6月</w:t>
            </w:r>
            <w:r>
              <w:rPr>
                <w:rFonts w:ascii="仿宋_GB2312" w:eastAsia="仿宋_GB2312"/>
                <w:sz w:val="28"/>
                <w:szCs w:val="28"/>
              </w:rPr>
              <w:t>7</w:t>
            </w:r>
            <w:r>
              <w:rPr>
                <w:rFonts w:hint="eastAsia" w:ascii="仿宋_GB2312" w:eastAsia="仿宋_GB2312"/>
                <w:sz w:val="28"/>
                <w:szCs w:val="28"/>
              </w:rPr>
              <w:t>日印发</w:t>
            </w:r>
          </w:p>
        </w:tc>
      </w:tr>
    </w:tbl>
    <w:p>
      <w:pPr>
        <w:spacing w:line="360" w:lineRule="auto"/>
        <w:ind w:firstLine="560" w:firstLineChars="200"/>
        <w:rPr>
          <w:sz w:val="28"/>
          <w:szCs w:val="28"/>
        </w:rPr>
      </w:pPr>
    </w:p>
    <w:sectPr>
      <w:footerReference r:id="rId3" w:type="default"/>
      <w:footerReference r:id="rId4" w:type="even"/>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dlOTQyZWI1ZTNiMTkyNzFhOTA5MzZkZjFmNGQ3MzUifQ=="/>
  </w:docVars>
  <w:rsids>
    <w:rsidRoot w:val="00C42D76"/>
    <w:rsid w:val="000042BA"/>
    <w:rsid w:val="00006124"/>
    <w:rsid w:val="0001024F"/>
    <w:rsid w:val="000174E3"/>
    <w:rsid w:val="0002438F"/>
    <w:rsid w:val="0003036D"/>
    <w:rsid w:val="000327DE"/>
    <w:rsid w:val="00033186"/>
    <w:rsid w:val="0004062E"/>
    <w:rsid w:val="00041F69"/>
    <w:rsid w:val="00044CA5"/>
    <w:rsid w:val="00046B41"/>
    <w:rsid w:val="00047640"/>
    <w:rsid w:val="00050A4B"/>
    <w:rsid w:val="0005114A"/>
    <w:rsid w:val="000512F5"/>
    <w:rsid w:val="000520E1"/>
    <w:rsid w:val="00053BC3"/>
    <w:rsid w:val="00055348"/>
    <w:rsid w:val="00055893"/>
    <w:rsid w:val="00060113"/>
    <w:rsid w:val="0006086B"/>
    <w:rsid w:val="000653D7"/>
    <w:rsid w:val="00065A97"/>
    <w:rsid w:val="00071A0C"/>
    <w:rsid w:val="00071B3B"/>
    <w:rsid w:val="000741E0"/>
    <w:rsid w:val="000771BD"/>
    <w:rsid w:val="00081C54"/>
    <w:rsid w:val="00087923"/>
    <w:rsid w:val="00091EF2"/>
    <w:rsid w:val="00092EA5"/>
    <w:rsid w:val="00093CEA"/>
    <w:rsid w:val="000947AB"/>
    <w:rsid w:val="00094BC7"/>
    <w:rsid w:val="000A17E0"/>
    <w:rsid w:val="000A1F85"/>
    <w:rsid w:val="000A7C21"/>
    <w:rsid w:val="000B1D62"/>
    <w:rsid w:val="000B3FC1"/>
    <w:rsid w:val="000B5C9F"/>
    <w:rsid w:val="000B6B6B"/>
    <w:rsid w:val="000C1ECC"/>
    <w:rsid w:val="000C2AAC"/>
    <w:rsid w:val="000C56C3"/>
    <w:rsid w:val="000C58B2"/>
    <w:rsid w:val="000D7378"/>
    <w:rsid w:val="000E11B0"/>
    <w:rsid w:val="000E4156"/>
    <w:rsid w:val="000E56F5"/>
    <w:rsid w:val="000E5B70"/>
    <w:rsid w:val="000F6128"/>
    <w:rsid w:val="000F6A42"/>
    <w:rsid w:val="0010132D"/>
    <w:rsid w:val="00104B30"/>
    <w:rsid w:val="00112FC4"/>
    <w:rsid w:val="001172E1"/>
    <w:rsid w:val="001213D0"/>
    <w:rsid w:val="00124431"/>
    <w:rsid w:val="001253B6"/>
    <w:rsid w:val="00126B99"/>
    <w:rsid w:val="001302DD"/>
    <w:rsid w:val="001320D4"/>
    <w:rsid w:val="00134D65"/>
    <w:rsid w:val="001353C2"/>
    <w:rsid w:val="00135A50"/>
    <w:rsid w:val="00152761"/>
    <w:rsid w:val="00152E8E"/>
    <w:rsid w:val="0015539C"/>
    <w:rsid w:val="00156D96"/>
    <w:rsid w:val="00164585"/>
    <w:rsid w:val="0017107C"/>
    <w:rsid w:val="0017298D"/>
    <w:rsid w:val="00181375"/>
    <w:rsid w:val="00184920"/>
    <w:rsid w:val="001855BB"/>
    <w:rsid w:val="00197016"/>
    <w:rsid w:val="001A777E"/>
    <w:rsid w:val="001B13EB"/>
    <w:rsid w:val="001B3BE0"/>
    <w:rsid w:val="001B5EFA"/>
    <w:rsid w:val="001B71E3"/>
    <w:rsid w:val="001C1044"/>
    <w:rsid w:val="001D7BFF"/>
    <w:rsid w:val="001E2938"/>
    <w:rsid w:val="001E3140"/>
    <w:rsid w:val="001E3B50"/>
    <w:rsid w:val="001E3F80"/>
    <w:rsid w:val="001E7B68"/>
    <w:rsid w:val="001F62CF"/>
    <w:rsid w:val="001F6A35"/>
    <w:rsid w:val="001F7838"/>
    <w:rsid w:val="002016D8"/>
    <w:rsid w:val="00201B6E"/>
    <w:rsid w:val="00206411"/>
    <w:rsid w:val="00206DE3"/>
    <w:rsid w:val="00212BBA"/>
    <w:rsid w:val="00213472"/>
    <w:rsid w:val="00214BDC"/>
    <w:rsid w:val="0021653A"/>
    <w:rsid w:val="00216CAA"/>
    <w:rsid w:val="002264E8"/>
    <w:rsid w:val="00232056"/>
    <w:rsid w:val="00234820"/>
    <w:rsid w:val="0023592A"/>
    <w:rsid w:val="0024567A"/>
    <w:rsid w:val="0024641F"/>
    <w:rsid w:val="00256000"/>
    <w:rsid w:val="002565F8"/>
    <w:rsid w:val="00257E50"/>
    <w:rsid w:val="00264B94"/>
    <w:rsid w:val="0026689D"/>
    <w:rsid w:val="00277B83"/>
    <w:rsid w:val="002829ED"/>
    <w:rsid w:val="00284B41"/>
    <w:rsid w:val="00285051"/>
    <w:rsid w:val="002A2610"/>
    <w:rsid w:val="002A441E"/>
    <w:rsid w:val="002A7D4D"/>
    <w:rsid w:val="002B3FDD"/>
    <w:rsid w:val="002B7946"/>
    <w:rsid w:val="002D0860"/>
    <w:rsid w:val="002D798F"/>
    <w:rsid w:val="002D79CB"/>
    <w:rsid w:val="002E1428"/>
    <w:rsid w:val="002E32EA"/>
    <w:rsid w:val="002F381E"/>
    <w:rsid w:val="002F5B9B"/>
    <w:rsid w:val="002F7B70"/>
    <w:rsid w:val="003077B3"/>
    <w:rsid w:val="00313565"/>
    <w:rsid w:val="00313EF2"/>
    <w:rsid w:val="003159BE"/>
    <w:rsid w:val="00321F6D"/>
    <w:rsid w:val="00323343"/>
    <w:rsid w:val="003234B1"/>
    <w:rsid w:val="00335354"/>
    <w:rsid w:val="00343020"/>
    <w:rsid w:val="0035323F"/>
    <w:rsid w:val="00355A10"/>
    <w:rsid w:val="00364150"/>
    <w:rsid w:val="00364AFA"/>
    <w:rsid w:val="00366591"/>
    <w:rsid w:val="003734DA"/>
    <w:rsid w:val="0037524A"/>
    <w:rsid w:val="003829BE"/>
    <w:rsid w:val="00386337"/>
    <w:rsid w:val="00386761"/>
    <w:rsid w:val="00387BBF"/>
    <w:rsid w:val="003931A2"/>
    <w:rsid w:val="00394482"/>
    <w:rsid w:val="0039611C"/>
    <w:rsid w:val="003A45A8"/>
    <w:rsid w:val="003A6118"/>
    <w:rsid w:val="003B0F3C"/>
    <w:rsid w:val="003B1372"/>
    <w:rsid w:val="003B1771"/>
    <w:rsid w:val="003B62A1"/>
    <w:rsid w:val="003C4A0D"/>
    <w:rsid w:val="003C4A26"/>
    <w:rsid w:val="003C4D23"/>
    <w:rsid w:val="003D01F7"/>
    <w:rsid w:val="003D2933"/>
    <w:rsid w:val="003D2A65"/>
    <w:rsid w:val="003D5ECD"/>
    <w:rsid w:val="003F07E0"/>
    <w:rsid w:val="00402B41"/>
    <w:rsid w:val="00412BE5"/>
    <w:rsid w:val="00413C88"/>
    <w:rsid w:val="004144FE"/>
    <w:rsid w:val="00415E51"/>
    <w:rsid w:val="00416737"/>
    <w:rsid w:val="004167F8"/>
    <w:rsid w:val="00416995"/>
    <w:rsid w:val="004366BA"/>
    <w:rsid w:val="00441FBB"/>
    <w:rsid w:val="004446BD"/>
    <w:rsid w:val="00444F50"/>
    <w:rsid w:val="00457253"/>
    <w:rsid w:val="00460190"/>
    <w:rsid w:val="00461B50"/>
    <w:rsid w:val="00462F80"/>
    <w:rsid w:val="00463E07"/>
    <w:rsid w:val="00464C60"/>
    <w:rsid w:val="00466659"/>
    <w:rsid w:val="00467A60"/>
    <w:rsid w:val="00467FC7"/>
    <w:rsid w:val="0048066E"/>
    <w:rsid w:val="0048114F"/>
    <w:rsid w:val="004929CC"/>
    <w:rsid w:val="00493657"/>
    <w:rsid w:val="00496E60"/>
    <w:rsid w:val="004A0A07"/>
    <w:rsid w:val="004A2D5D"/>
    <w:rsid w:val="004A684A"/>
    <w:rsid w:val="004A6AA7"/>
    <w:rsid w:val="004B15E8"/>
    <w:rsid w:val="004C06FB"/>
    <w:rsid w:val="004C19C3"/>
    <w:rsid w:val="004E68AC"/>
    <w:rsid w:val="004F3082"/>
    <w:rsid w:val="00503617"/>
    <w:rsid w:val="00505077"/>
    <w:rsid w:val="005050EC"/>
    <w:rsid w:val="005053C3"/>
    <w:rsid w:val="00505844"/>
    <w:rsid w:val="00511177"/>
    <w:rsid w:val="00511859"/>
    <w:rsid w:val="005121DB"/>
    <w:rsid w:val="00513F32"/>
    <w:rsid w:val="00516F5B"/>
    <w:rsid w:val="0051791C"/>
    <w:rsid w:val="00522BB2"/>
    <w:rsid w:val="00523B4D"/>
    <w:rsid w:val="00525E94"/>
    <w:rsid w:val="00526DAD"/>
    <w:rsid w:val="005318CD"/>
    <w:rsid w:val="005413D7"/>
    <w:rsid w:val="005523FF"/>
    <w:rsid w:val="00553881"/>
    <w:rsid w:val="00554CDF"/>
    <w:rsid w:val="00562824"/>
    <w:rsid w:val="00570394"/>
    <w:rsid w:val="00575D4B"/>
    <w:rsid w:val="00583254"/>
    <w:rsid w:val="00586F03"/>
    <w:rsid w:val="005A597B"/>
    <w:rsid w:val="005A5E5E"/>
    <w:rsid w:val="005A5F09"/>
    <w:rsid w:val="005B6406"/>
    <w:rsid w:val="005B7215"/>
    <w:rsid w:val="005D7377"/>
    <w:rsid w:val="005E30A4"/>
    <w:rsid w:val="005E35DC"/>
    <w:rsid w:val="005E3FDB"/>
    <w:rsid w:val="005E5469"/>
    <w:rsid w:val="005F5A62"/>
    <w:rsid w:val="0060738C"/>
    <w:rsid w:val="006120D6"/>
    <w:rsid w:val="0061476F"/>
    <w:rsid w:val="006175EF"/>
    <w:rsid w:val="00625012"/>
    <w:rsid w:val="006269C2"/>
    <w:rsid w:val="006348EA"/>
    <w:rsid w:val="00637EAC"/>
    <w:rsid w:val="006404DE"/>
    <w:rsid w:val="00651B2D"/>
    <w:rsid w:val="00660A3B"/>
    <w:rsid w:val="006652AF"/>
    <w:rsid w:val="00665608"/>
    <w:rsid w:val="00666048"/>
    <w:rsid w:val="00666915"/>
    <w:rsid w:val="00667536"/>
    <w:rsid w:val="00670185"/>
    <w:rsid w:val="0067607E"/>
    <w:rsid w:val="0068575E"/>
    <w:rsid w:val="0068741C"/>
    <w:rsid w:val="0069715B"/>
    <w:rsid w:val="006A2695"/>
    <w:rsid w:val="006A398C"/>
    <w:rsid w:val="006A66C1"/>
    <w:rsid w:val="006B1538"/>
    <w:rsid w:val="006B2AE1"/>
    <w:rsid w:val="006B3DFF"/>
    <w:rsid w:val="006B7B8D"/>
    <w:rsid w:val="006C4962"/>
    <w:rsid w:val="006D1C9B"/>
    <w:rsid w:val="006E0DF6"/>
    <w:rsid w:val="006E727B"/>
    <w:rsid w:val="006F3AF9"/>
    <w:rsid w:val="006F5382"/>
    <w:rsid w:val="006F77BB"/>
    <w:rsid w:val="00700E6D"/>
    <w:rsid w:val="0070125E"/>
    <w:rsid w:val="0070347B"/>
    <w:rsid w:val="007044B0"/>
    <w:rsid w:val="00704D95"/>
    <w:rsid w:val="00705E91"/>
    <w:rsid w:val="007132DE"/>
    <w:rsid w:val="00715550"/>
    <w:rsid w:val="00721592"/>
    <w:rsid w:val="00724ED4"/>
    <w:rsid w:val="00732841"/>
    <w:rsid w:val="0073360E"/>
    <w:rsid w:val="007336EF"/>
    <w:rsid w:val="00741F60"/>
    <w:rsid w:val="00742D50"/>
    <w:rsid w:val="007456DF"/>
    <w:rsid w:val="00747FB5"/>
    <w:rsid w:val="0075147A"/>
    <w:rsid w:val="00751B6F"/>
    <w:rsid w:val="00751CC0"/>
    <w:rsid w:val="00753C6E"/>
    <w:rsid w:val="007549F8"/>
    <w:rsid w:val="00756DAF"/>
    <w:rsid w:val="00762928"/>
    <w:rsid w:val="007631F8"/>
    <w:rsid w:val="00766D32"/>
    <w:rsid w:val="0077484D"/>
    <w:rsid w:val="00776886"/>
    <w:rsid w:val="00782696"/>
    <w:rsid w:val="007835FA"/>
    <w:rsid w:val="00784A18"/>
    <w:rsid w:val="0079088E"/>
    <w:rsid w:val="00793A30"/>
    <w:rsid w:val="007952DE"/>
    <w:rsid w:val="007957FA"/>
    <w:rsid w:val="00795840"/>
    <w:rsid w:val="00795FAD"/>
    <w:rsid w:val="0079644B"/>
    <w:rsid w:val="00796ACA"/>
    <w:rsid w:val="007A12AA"/>
    <w:rsid w:val="007A3954"/>
    <w:rsid w:val="007A44FC"/>
    <w:rsid w:val="007B0BF1"/>
    <w:rsid w:val="007B3967"/>
    <w:rsid w:val="007B5744"/>
    <w:rsid w:val="007C09BF"/>
    <w:rsid w:val="007C2083"/>
    <w:rsid w:val="007C241C"/>
    <w:rsid w:val="007C27A3"/>
    <w:rsid w:val="007C458B"/>
    <w:rsid w:val="007C4C45"/>
    <w:rsid w:val="007C55DD"/>
    <w:rsid w:val="007C585C"/>
    <w:rsid w:val="007D2B5B"/>
    <w:rsid w:val="007D5B42"/>
    <w:rsid w:val="007D6BFC"/>
    <w:rsid w:val="007E0437"/>
    <w:rsid w:val="007E0EA7"/>
    <w:rsid w:val="007E12C6"/>
    <w:rsid w:val="007E2B7F"/>
    <w:rsid w:val="007E563D"/>
    <w:rsid w:val="007F1659"/>
    <w:rsid w:val="007F2D5D"/>
    <w:rsid w:val="007F4EED"/>
    <w:rsid w:val="007F5C6F"/>
    <w:rsid w:val="007F5DB7"/>
    <w:rsid w:val="00805759"/>
    <w:rsid w:val="00811D2E"/>
    <w:rsid w:val="00821D87"/>
    <w:rsid w:val="00822259"/>
    <w:rsid w:val="008234BA"/>
    <w:rsid w:val="00836E83"/>
    <w:rsid w:val="00837CCA"/>
    <w:rsid w:val="00841E5D"/>
    <w:rsid w:val="008438B7"/>
    <w:rsid w:val="00846175"/>
    <w:rsid w:val="008549E5"/>
    <w:rsid w:val="00862910"/>
    <w:rsid w:val="0086539C"/>
    <w:rsid w:val="0088155C"/>
    <w:rsid w:val="00882778"/>
    <w:rsid w:val="00885A6B"/>
    <w:rsid w:val="00885FED"/>
    <w:rsid w:val="0088740F"/>
    <w:rsid w:val="008900DC"/>
    <w:rsid w:val="008A4A5A"/>
    <w:rsid w:val="008A52AE"/>
    <w:rsid w:val="008A7022"/>
    <w:rsid w:val="008B23D2"/>
    <w:rsid w:val="008B31FB"/>
    <w:rsid w:val="008C34A6"/>
    <w:rsid w:val="008C4CA9"/>
    <w:rsid w:val="008D25F3"/>
    <w:rsid w:val="008D742D"/>
    <w:rsid w:val="008E1E79"/>
    <w:rsid w:val="008E4B2A"/>
    <w:rsid w:val="008E62F0"/>
    <w:rsid w:val="008F0B9D"/>
    <w:rsid w:val="008F0C4A"/>
    <w:rsid w:val="008F4015"/>
    <w:rsid w:val="008F5060"/>
    <w:rsid w:val="00900F2E"/>
    <w:rsid w:val="00903362"/>
    <w:rsid w:val="00907678"/>
    <w:rsid w:val="009106B3"/>
    <w:rsid w:val="00913224"/>
    <w:rsid w:val="00917977"/>
    <w:rsid w:val="00923376"/>
    <w:rsid w:val="009233B9"/>
    <w:rsid w:val="00924060"/>
    <w:rsid w:val="0092784A"/>
    <w:rsid w:val="0093519A"/>
    <w:rsid w:val="009368FE"/>
    <w:rsid w:val="0093694B"/>
    <w:rsid w:val="009437E9"/>
    <w:rsid w:val="009443A2"/>
    <w:rsid w:val="00951A76"/>
    <w:rsid w:val="00953D1B"/>
    <w:rsid w:val="009553D0"/>
    <w:rsid w:val="00956E4C"/>
    <w:rsid w:val="00957990"/>
    <w:rsid w:val="00964DE3"/>
    <w:rsid w:val="0096521C"/>
    <w:rsid w:val="009661AF"/>
    <w:rsid w:val="00966B97"/>
    <w:rsid w:val="0096732C"/>
    <w:rsid w:val="009713C2"/>
    <w:rsid w:val="00973A23"/>
    <w:rsid w:val="009773AC"/>
    <w:rsid w:val="00982D6E"/>
    <w:rsid w:val="00983B34"/>
    <w:rsid w:val="00986991"/>
    <w:rsid w:val="00990B00"/>
    <w:rsid w:val="00991D45"/>
    <w:rsid w:val="009970C1"/>
    <w:rsid w:val="009A0132"/>
    <w:rsid w:val="009A14D4"/>
    <w:rsid w:val="009A629F"/>
    <w:rsid w:val="009A756C"/>
    <w:rsid w:val="009B4F06"/>
    <w:rsid w:val="009C04A5"/>
    <w:rsid w:val="009C35B3"/>
    <w:rsid w:val="009C7E02"/>
    <w:rsid w:val="009D0116"/>
    <w:rsid w:val="009D491F"/>
    <w:rsid w:val="009D5AC1"/>
    <w:rsid w:val="009D68A5"/>
    <w:rsid w:val="009E1F42"/>
    <w:rsid w:val="009E48D8"/>
    <w:rsid w:val="009F7489"/>
    <w:rsid w:val="00A01D8A"/>
    <w:rsid w:val="00A01EDF"/>
    <w:rsid w:val="00A04297"/>
    <w:rsid w:val="00A07E4F"/>
    <w:rsid w:val="00A107E9"/>
    <w:rsid w:val="00A10937"/>
    <w:rsid w:val="00A12A2C"/>
    <w:rsid w:val="00A1605C"/>
    <w:rsid w:val="00A206B3"/>
    <w:rsid w:val="00A20D62"/>
    <w:rsid w:val="00A22183"/>
    <w:rsid w:val="00A22381"/>
    <w:rsid w:val="00A23630"/>
    <w:rsid w:val="00A23961"/>
    <w:rsid w:val="00A27319"/>
    <w:rsid w:val="00A40779"/>
    <w:rsid w:val="00A517CC"/>
    <w:rsid w:val="00A51EA6"/>
    <w:rsid w:val="00A5490E"/>
    <w:rsid w:val="00A55493"/>
    <w:rsid w:val="00A577CA"/>
    <w:rsid w:val="00A579B3"/>
    <w:rsid w:val="00A64F4F"/>
    <w:rsid w:val="00A65E75"/>
    <w:rsid w:val="00A72893"/>
    <w:rsid w:val="00A77DB7"/>
    <w:rsid w:val="00A866AB"/>
    <w:rsid w:val="00A966F6"/>
    <w:rsid w:val="00A97DD5"/>
    <w:rsid w:val="00AA2612"/>
    <w:rsid w:val="00AA505A"/>
    <w:rsid w:val="00AB6A8A"/>
    <w:rsid w:val="00AC0D0B"/>
    <w:rsid w:val="00AD0B8A"/>
    <w:rsid w:val="00AD0F67"/>
    <w:rsid w:val="00AD1C59"/>
    <w:rsid w:val="00AD5652"/>
    <w:rsid w:val="00AD6BA3"/>
    <w:rsid w:val="00AE21CB"/>
    <w:rsid w:val="00AE25A6"/>
    <w:rsid w:val="00AE66FC"/>
    <w:rsid w:val="00AF4C62"/>
    <w:rsid w:val="00AF4DF8"/>
    <w:rsid w:val="00B03CCB"/>
    <w:rsid w:val="00B04714"/>
    <w:rsid w:val="00B055CF"/>
    <w:rsid w:val="00B05B4F"/>
    <w:rsid w:val="00B06029"/>
    <w:rsid w:val="00B06736"/>
    <w:rsid w:val="00B15B33"/>
    <w:rsid w:val="00B179F3"/>
    <w:rsid w:val="00B205EB"/>
    <w:rsid w:val="00B20FE4"/>
    <w:rsid w:val="00B238CC"/>
    <w:rsid w:val="00B23F53"/>
    <w:rsid w:val="00B30F2E"/>
    <w:rsid w:val="00B32CF2"/>
    <w:rsid w:val="00B342CF"/>
    <w:rsid w:val="00B41C43"/>
    <w:rsid w:val="00B43374"/>
    <w:rsid w:val="00B43813"/>
    <w:rsid w:val="00B45678"/>
    <w:rsid w:val="00B4706D"/>
    <w:rsid w:val="00B5063C"/>
    <w:rsid w:val="00B51770"/>
    <w:rsid w:val="00B5209C"/>
    <w:rsid w:val="00B531C9"/>
    <w:rsid w:val="00B54283"/>
    <w:rsid w:val="00B627AC"/>
    <w:rsid w:val="00B629DF"/>
    <w:rsid w:val="00B77253"/>
    <w:rsid w:val="00B873D3"/>
    <w:rsid w:val="00B95205"/>
    <w:rsid w:val="00B97F61"/>
    <w:rsid w:val="00BA4F55"/>
    <w:rsid w:val="00BA59B8"/>
    <w:rsid w:val="00BB7552"/>
    <w:rsid w:val="00BC161A"/>
    <w:rsid w:val="00BC531C"/>
    <w:rsid w:val="00BC7759"/>
    <w:rsid w:val="00BC7E4A"/>
    <w:rsid w:val="00BD2AB8"/>
    <w:rsid w:val="00BD44A5"/>
    <w:rsid w:val="00BD6042"/>
    <w:rsid w:val="00BE1E76"/>
    <w:rsid w:val="00BE5157"/>
    <w:rsid w:val="00BE645E"/>
    <w:rsid w:val="00BF61A6"/>
    <w:rsid w:val="00C003FA"/>
    <w:rsid w:val="00C14825"/>
    <w:rsid w:val="00C15935"/>
    <w:rsid w:val="00C20F72"/>
    <w:rsid w:val="00C22CA8"/>
    <w:rsid w:val="00C258CA"/>
    <w:rsid w:val="00C308E0"/>
    <w:rsid w:val="00C30953"/>
    <w:rsid w:val="00C33B09"/>
    <w:rsid w:val="00C33EE5"/>
    <w:rsid w:val="00C35BBF"/>
    <w:rsid w:val="00C4036C"/>
    <w:rsid w:val="00C41FC5"/>
    <w:rsid w:val="00C42D76"/>
    <w:rsid w:val="00C42D97"/>
    <w:rsid w:val="00C43C98"/>
    <w:rsid w:val="00C44BB5"/>
    <w:rsid w:val="00C45C6B"/>
    <w:rsid w:val="00C512BE"/>
    <w:rsid w:val="00C53A88"/>
    <w:rsid w:val="00C53C07"/>
    <w:rsid w:val="00C55FB4"/>
    <w:rsid w:val="00C62B8B"/>
    <w:rsid w:val="00C6548F"/>
    <w:rsid w:val="00C66C56"/>
    <w:rsid w:val="00C67243"/>
    <w:rsid w:val="00C72305"/>
    <w:rsid w:val="00C73B24"/>
    <w:rsid w:val="00C74213"/>
    <w:rsid w:val="00C8317D"/>
    <w:rsid w:val="00C84DB9"/>
    <w:rsid w:val="00C868D7"/>
    <w:rsid w:val="00C90177"/>
    <w:rsid w:val="00C91B65"/>
    <w:rsid w:val="00C93156"/>
    <w:rsid w:val="00C9375F"/>
    <w:rsid w:val="00CA1E8C"/>
    <w:rsid w:val="00CA7C14"/>
    <w:rsid w:val="00CB0720"/>
    <w:rsid w:val="00CB0F9D"/>
    <w:rsid w:val="00CC30A1"/>
    <w:rsid w:val="00CC6799"/>
    <w:rsid w:val="00CD28C6"/>
    <w:rsid w:val="00CD3E89"/>
    <w:rsid w:val="00CE0C99"/>
    <w:rsid w:val="00CE6679"/>
    <w:rsid w:val="00CF05BD"/>
    <w:rsid w:val="00CF0E0D"/>
    <w:rsid w:val="00CF1DB4"/>
    <w:rsid w:val="00CF4575"/>
    <w:rsid w:val="00CF69DC"/>
    <w:rsid w:val="00D04A5F"/>
    <w:rsid w:val="00D112E2"/>
    <w:rsid w:val="00D201C6"/>
    <w:rsid w:val="00D20D4B"/>
    <w:rsid w:val="00D2136C"/>
    <w:rsid w:val="00D234CD"/>
    <w:rsid w:val="00D26459"/>
    <w:rsid w:val="00D27B2F"/>
    <w:rsid w:val="00D27B8B"/>
    <w:rsid w:val="00D31921"/>
    <w:rsid w:val="00D40576"/>
    <w:rsid w:val="00D42877"/>
    <w:rsid w:val="00D45888"/>
    <w:rsid w:val="00D4643D"/>
    <w:rsid w:val="00D50534"/>
    <w:rsid w:val="00D55EE9"/>
    <w:rsid w:val="00D5664A"/>
    <w:rsid w:val="00D608C8"/>
    <w:rsid w:val="00D66904"/>
    <w:rsid w:val="00D7740B"/>
    <w:rsid w:val="00D77C95"/>
    <w:rsid w:val="00D80E88"/>
    <w:rsid w:val="00D87307"/>
    <w:rsid w:val="00D9082B"/>
    <w:rsid w:val="00DA54F9"/>
    <w:rsid w:val="00DA71AE"/>
    <w:rsid w:val="00DB1AEA"/>
    <w:rsid w:val="00DB5CA2"/>
    <w:rsid w:val="00DB762A"/>
    <w:rsid w:val="00DC0054"/>
    <w:rsid w:val="00DC26C2"/>
    <w:rsid w:val="00DC2775"/>
    <w:rsid w:val="00DC71E3"/>
    <w:rsid w:val="00DD1897"/>
    <w:rsid w:val="00DD3D7A"/>
    <w:rsid w:val="00DE3ABF"/>
    <w:rsid w:val="00DE4EF9"/>
    <w:rsid w:val="00DE675D"/>
    <w:rsid w:val="00DE759E"/>
    <w:rsid w:val="00DF0423"/>
    <w:rsid w:val="00DF6651"/>
    <w:rsid w:val="00DF70EE"/>
    <w:rsid w:val="00E007F2"/>
    <w:rsid w:val="00E02140"/>
    <w:rsid w:val="00E05623"/>
    <w:rsid w:val="00E10BCB"/>
    <w:rsid w:val="00E12224"/>
    <w:rsid w:val="00E13B86"/>
    <w:rsid w:val="00E1411C"/>
    <w:rsid w:val="00E15CA0"/>
    <w:rsid w:val="00E17841"/>
    <w:rsid w:val="00E23AFA"/>
    <w:rsid w:val="00E23C5C"/>
    <w:rsid w:val="00E24D43"/>
    <w:rsid w:val="00E25311"/>
    <w:rsid w:val="00E26CA0"/>
    <w:rsid w:val="00E354BB"/>
    <w:rsid w:val="00E40EC2"/>
    <w:rsid w:val="00E54B56"/>
    <w:rsid w:val="00E61981"/>
    <w:rsid w:val="00E6331F"/>
    <w:rsid w:val="00E67483"/>
    <w:rsid w:val="00E71D94"/>
    <w:rsid w:val="00E75C69"/>
    <w:rsid w:val="00E8499B"/>
    <w:rsid w:val="00E85D4B"/>
    <w:rsid w:val="00E87D48"/>
    <w:rsid w:val="00E91854"/>
    <w:rsid w:val="00E91E1A"/>
    <w:rsid w:val="00E95894"/>
    <w:rsid w:val="00EA45E1"/>
    <w:rsid w:val="00EA543D"/>
    <w:rsid w:val="00EA58C1"/>
    <w:rsid w:val="00EB4659"/>
    <w:rsid w:val="00EB4CA3"/>
    <w:rsid w:val="00EB5406"/>
    <w:rsid w:val="00EC1448"/>
    <w:rsid w:val="00EC1520"/>
    <w:rsid w:val="00EC2FB6"/>
    <w:rsid w:val="00EC3157"/>
    <w:rsid w:val="00EC3D19"/>
    <w:rsid w:val="00EC53E5"/>
    <w:rsid w:val="00EC53F9"/>
    <w:rsid w:val="00EC5781"/>
    <w:rsid w:val="00EC61A9"/>
    <w:rsid w:val="00ED4094"/>
    <w:rsid w:val="00EE22FE"/>
    <w:rsid w:val="00EE25E4"/>
    <w:rsid w:val="00EF07A1"/>
    <w:rsid w:val="00EF0A8A"/>
    <w:rsid w:val="00EF32D3"/>
    <w:rsid w:val="00EF741D"/>
    <w:rsid w:val="00EF7748"/>
    <w:rsid w:val="00F00561"/>
    <w:rsid w:val="00F029D5"/>
    <w:rsid w:val="00F04230"/>
    <w:rsid w:val="00F12E14"/>
    <w:rsid w:val="00F207D9"/>
    <w:rsid w:val="00F23EB2"/>
    <w:rsid w:val="00F24471"/>
    <w:rsid w:val="00F248C0"/>
    <w:rsid w:val="00F33C89"/>
    <w:rsid w:val="00F3415C"/>
    <w:rsid w:val="00F452CD"/>
    <w:rsid w:val="00F458AB"/>
    <w:rsid w:val="00F57F28"/>
    <w:rsid w:val="00F610D7"/>
    <w:rsid w:val="00F6412E"/>
    <w:rsid w:val="00F661DC"/>
    <w:rsid w:val="00F6710B"/>
    <w:rsid w:val="00F7355B"/>
    <w:rsid w:val="00F74883"/>
    <w:rsid w:val="00F7681C"/>
    <w:rsid w:val="00F76CE5"/>
    <w:rsid w:val="00F84054"/>
    <w:rsid w:val="00F85C52"/>
    <w:rsid w:val="00F9233B"/>
    <w:rsid w:val="00FA1222"/>
    <w:rsid w:val="00FB18ED"/>
    <w:rsid w:val="00FB2E5C"/>
    <w:rsid w:val="00FB473D"/>
    <w:rsid w:val="00FB6E16"/>
    <w:rsid w:val="00FC10A2"/>
    <w:rsid w:val="00FC45A3"/>
    <w:rsid w:val="00FC7A85"/>
    <w:rsid w:val="00FD1071"/>
    <w:rsid w:val="00FD35EA"/>
    <w:rsid w:val="00FE0BC1"/>
    <w:rsid w:val="00FE0C68"/>
    <w:rsid w:val="00FE4F91"/>
    <w:rsid w:val="00FF01AA"/>
    <w:rsid w:val="405D1D78"/>
    <w:rsid w:val="46AB22AF"/>
    <w:rsid w:val="56FE0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autoRedefine/>
    <w:qFormat/>
    <w:uiPriority w:val="0"/>
    <w:pPr>
      <w:jc w:val="left"/>
    </w:pPr>
  </w:style>
  <w:style w:type="paragraph" w:styleId="3">
    <w:name w:val="Plain Text"/>
    <w:basedOn w:val="1"/>
    <w:link w:val="20"/>
    <w:uiPriority w:val="0"/>
    <w:pPr>
      <w:widowControl/>
      <w:spacing w:before="100" w:beforeAutospacing="1" w:after="100" w:afterAutospacing="1"/>
      <w:jc w:val="left"/>
    </w:pPr>
    <w:rPr>
      <w:rFonts w:ascii="宋体" w:hAnsi="宋体" w:cs="宋体"/>
      <w:kern w:val="0"/>
      <w:sz w:val="24"/>
    </w:rPr>
  </w:style>
  <w:style w:type="paragraph" w:styleId="4">
    <w:name w:val="Date"/>
    <w:basedOn w:val="1"/>
    <w:next w:val="1"/>
    <w:autoRedefine/>
    <w:qFormat/>
    <w:uiPriority w:val="0"/>
    <w:pPr>
      <w:ind w:left="100" w:leftChars="2500"/>
    </w:pPr>
  </w:style>
  <w:style w:type="paragraph" w:styleId="5">
    <w:name w:val="Balloon Text"/>
    <w:basedOn w:val="1"/>
    <w:autoRedefine/>
    <w:semiHidden/>
    <w:qFormat/>
    <w:uiPriority w:val="0"/>
    <w:rPr>
      <w:sz w:val="18"/>
      <w:szCs w:val="18"/>
    </w:rPr>
  </w:style>
  <w:style w:type="paragraph" w:styleId="6">
    <w:name w:val="footer"/>
    <w:basedOn w:val="1"/>
    <w:link w:val="16"/>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17"/>
    <w:autoRedefine/>
    <w:qFormat/>
    <w:uiPriority w:val="0"/>
    <w:rPr>
      <w:b/>
      <w:bCs/>
    </w:rPr>
  </w:style>
  <w:style w:type="character" w:styleId="12">
    <w:name w:val="page number"/>
    <w:autoRedefine/>
    <w:qFormat/>
    <w:uiPriority w:val="0"/>
  </w:style>
  <w:style w:type="character" w:styleId="13">
    <w:name w:val="Hyperlink"/>
    <w:autoRedefine/>
    <w:unhideWhenUsed/>
    <w:qFormat/>
    <w:uiPriority w:val="99"/>
    <w:rPr>
      <w:color w:val="0000FF"/>
      <w:u w:val="single"/>
    </w:rPr>
  </w:style>
  <w:style w:type="character" w:styleId="14">
    <w:name w:val="annotation reference"/>
    <w:autoRedefine/>
    <w:qFormat/>
    <w:uiPriority w:val="0"/>
    <w:rPr>
      <w:sz w:val="21"/>
      <w:szCs w:val="21"/>
    </w:rPr>
  </w:style>
  <w:style w:type="character" w:customStyle="1" w:styleId="15">
    <w:name w:val="批注文字 Char"/>
    <w:link w:val="2"/>
    <w:autoRedefine/>
    <w:qFormat/>
    <w:uiPriority w:val="0"/>
    <w:rPr>
      <w:kern w:val="2"/>
      <w:sz w:val="21"/>
      <w:szCs w:val="24"/>
    </w:rPr>
  </w:style>
  <w:style w:type="character" w:customStyle="1" w:styleId="16">
    <w:name w:val="页脚 Char"/>
    <w:link w:val="6"/>
    <w:autoRedefine/>
    <w:qFormat/>
    <w:uiPriority w:val="99"/>
    <w:rPr>
      <w:kern w:val="2"/>
      <w:sz w:val="18"/>
      <w:szCs w:val="18"/>
    </w:rPr>
  </w:style>
  <w:style w:type="character" w:customStyle="1" w:styleId="17">
    <w:name w:val="批注主题 Char"/>
    <w:link w:val="9"/>
    <w:autoRedefine/>
    <w:qFormat/>
    <w:uiPriority w:val="0"/>
    <w:rPr>
      <w:b/>
      <w:bCs/>
      <w:kern w:val="2"/>
      <w:sz w:val="21"/>
      <w:szCs w:val="24"/>
    </w:rPr>
  </w:style>
  <w:style w:type="paragraph" w:customStyle="1" w:styleId="18">
    <w:name w:val="Char1"/>
    <w:basedOn w:val="1"/>
    <w:autoRedefine/>
    <w:semiHidden/>
    <w:qFormat/>
    <w:uiPriority w:val="0"/>
    <w:pPr>
      <w:widowControl/>
      <w:spacing w:after="160" w:line="240" w:lineRule="exact"/>
      <w:jc w:val="left"/>
    </w:pPr>
    <w:rPr>
      <w:rFonts w:ascii="Verdana" w:hAnsi="Verdana" w:cs="Verdana"/>
      <w:kern w:val="0"/>
      <w:sz w:val="20"/>
      <w:szCs w:val="20"/>
      <w:lang w:eastAsia="en-US"/>
    </w:rPr>
  </w:style>
  <w:style w:type="paragraph" w:customStyle="1" w:styleId="19">
    <w:name w:val="Char"/>
    <w:basedOn w:val="1"/>
    <w:autoRedefine/>
    <w:qFormat/>
    <w:uiPriority w:val="0"/>
    <w:pPr>
      <w:snapToGrid w:val="0"/>
      <w:spacing w:line="360" w:lineRule="auto"/>
      <w:ind w:firstLine="200" w:firstLineChars="200"/>
    </w:pPr>
    <w:rPr>
      <w:rFonts w:eastAsia="仿宋_GB2312"/>
      <w:sz w:val="24"/>
    </w:rPr>
  </w:style>
  <w:style w:type="character" w:customStyle="1" w:styleId="20">
    <w:name w:val="纯文本 Char"/>
    <w:basedOn w:val="11"/>
    <w:link w:val="3"/>
    <w:autoRedefine/>
    <w:qFormat/>
    <w:uiPriority w:val="0"/>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E61BD-F3BE-47E7-93AB-169D7AC91E38}">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575</Words>
  <Characters>3283</Characters>
  <Lines>27</Lines>
  <Paragraphs>7</Paragraphs>
  <TotalTime>315</TotalTime>
  <ScaleCrop>false</ScaleCrop>
  <LinksUpToDate>false</LinksUpToDate>
  <CharactersWithSpaces>3851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2022-06-01T03:05:00Z</dcterms:created>
  <dc:creator>user</dc:creator>
  <cp:lastModifiedBy>dell</cp:lastModifiedBy>
  <cp:lastPrinted>2022-04-27T00:54:00Z</cp:lastPrinted>
  <dcterms:modified xsi:type="dcterms:W3CDTF">2025-04-23T06:54:33Z</dcterms:modified>
  <dc:title>北京青年政治学院财务报销规定</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3F8D59D9FD614997B8D2C21AE66555A3</vt:lpwstr>
  </property>
</Properties>
</file>