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5595" w:type="pct"/>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44"/>
      </w:tblGrid>
      <w:tr w14:paraId="5B8D346A">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PrEx>
        <w:trPr>
          <w:trHeight w:val="1951" w:hRule="atLeast"/>
          <w:jc w:val="center"/>
        </w:trPr>
        <w:tc>
          <w:tcPr>
            <w:tcW w:w="5000" w:type="pct"/>
            <w:tcBorders>
              <w:top w:val="nil"/>
              <w:left w:val="nil"/>
              <w:right w:val="nil"/>
            </w:tcBorders>
            <w:vAlign w:val="center"/>
          </w:tcPr>
          <w:p w14:paraId="51343976">
            <w:pPr>
              <w:jc w:val="center"/>
              <w:rPr>
                <w:rFonts w:ascii="方正小标宋简体" w:hAnsi="宋体" w:eastAsia="方正小标宋简体"/>
                <w:color w:val="FF0000"/>
                <w:spacing w:val="-10"/>
                <w:sz w:val="72"/>
                <w:szCs w:val="72"/>
              </w:rPr>
            </w:pPr>
            <w:r>
              <w:rPr>
                <w:rFonts w:hint="eastAsia" w:ascii="方正小标宋简体" w:hAnsi="宋体" w:eastAsia="方正小标宋简体"/>
                <w:color w:val="FF0000"/>
                <w:spacing w:val="-10"/>
                <w:sz w:val="72"/>
                <w:szCs w:val="72"/>
              </w:rPr>
              <w:t>北京青年政治学院科研处文件</w:t>
            </w:r>
          </w:p>
        </w:tc>
      </w:tr>
      <w:tr w14:paraId="2738568C">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000" w:type="pct"/>
            <w:tcBorders>
              <w:top w:val="nil"/>
              <w:left w:val="nil"/>
              <w:bottom w:val="nil"/>
              <w:right w:val="nil"/>
            </w:tcBorders>
            <w:vAlign w:val="center"/>
          </w:tcPr>
          <w:p w14:paraId="5320AA76">
            <w:pPr>
              <w:jc w:val="center"/>
              <w:rPr>
                <w:rFonts w:ascii="仿宋_GB2312" w:hAnsi="宋体" w:eastAsia="仿宋_GB2312"/>
                <w:b/>
                <w:color w:val="FF0000"/>
                <w:sz w:val="32"/>
                <w:szCs w:val="32"/>
              </w:rPr>
            </w:pPr>
          </w:p>
        </w:tc>
      </w:tr>
      <w:tr w14:paraId="05AF30B7">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5000" w:type="pct"/>
            <w:tcBorders>
              <w:top w:val="nil"/>
              <w:left w:val="nil"/>
              <w:bottom w:val="single" w:color="FF0000" w:sz="24" w:space="0"/>
              <w:right w:val="nil"/>
            </w:tcBorders>
            <w:vAlign w:val="center"/>
          </w:tcPr>
          <w:p w14:paraId="375CFEFE">
            <w:pPr>
              <w:jc w:val="center"/>
              <w:rPr>
                <w:rFonts w:ascii="仿宋_GB2312" w:hAnsi="宋体" w:eastAsia="仿宋_GB2312"/>
                <w:color w:val="000000"/>
                <w:sz w:val="32"/>
                <w:szCs w:val="32"/>
              </w:rPr>
            </w:pPr>
            <w:r>
              <w:rPr>
                <w:rFonts w:hint="eastAsia" w:ascii="仿宋_GB2312" w:hAnsi="宋体" w:eastAsia="仿宋_GB2312"/>
                <w:color w:val="000000"/>
                <w:sz w:val="32"/>
                <w:szCs w:val="32"/>
              </w:rPr>
              <w:t>院</w:t>
            </w:r>
            <w:r>
              <w:rPr>
                <w:rFonts w:hint="eastAsia" w:ascii="仿宋_GB2312" w:eastAsia="仿宋_GB2312"/>
                <w:color w:val="000000"/>
                <w:sz w:val="32"/>
                <w:szCs w:val="32"/>
              </w:rPr>
              <w:t>研</w:t>
            </w:r>
            <w:r>
              <w:rPr>
                <w:rFonts w:hint="eastAsia" w:ascii="仿宋_GB2312" w:hAnsi="宋体" w:eastAsia="仿宋_GB2312"/>
                <w:color w:val="000000"/>
                <w:sz w:val="32"/>
                <w:szCs w:val="32"/>
              </w:rPr>
              <w:t>发〔</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6</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2</w:t>
            </w:r>
            <w:r>
              <w:rPr>
                <w:rFonts w:hint="eastAsia" w:ascii="仿宋_GB2312" w:eastAsia="仿宋_GB2312"/>
                <w:color w:val="000000"/>
                <w:sz w:val="32"/>
                <w:szCs w:val="32"/>
              </w:rPr>
              <w:t>号</w:t>
            </w:r>
          </w:p>
        </w:tc>
      </w:tr>
    </w:tbl>
    <w:p w14:paraId="2CEC992D">
      <w:pPr>
        <w:shd w:val="clear" w:color="auto" w:fill="FFFFFF"/>
        <w:spacing w:line="360" w:lineRule="auto"/>
        <w:jc w:val="center"/>
        <w:rPr>
          <w:rFonts w:ascii="黑体" w:hAnsi="宋体" w:eastAsia="黑体" w:cs="宋体"/>
          <w:bCs/>
          <w:color w:val="000000"/>
          <w:kern w:val="0"/>
          <w:sz w:val="44"/>
          <w:szCs w:val="44"/>
        </w:rPr>
      </w:pPr>
    </w:p>
    <w:p w14:paraId="0BBD0BC6">
      <w:pPr>
        <w:snapToGrid w:val="0"/>
        <w:spacing w:line="600" w:lineRule="atLeast"/>
        <w:jc w:val="center"/>
        <w:rPr>
          <w:rFonts w:cs="宋体" w:asciiTheme="majorEastAsia" w:hAnsiTheme="majorEastAsia" w:eastAsiaTheme="majorEastAsia"/>
          <w:kern w:val="0"/>
          <w:sz w:val="44"/>
          <w:szCs w:val="44"/>
        </w:rPr>
      </w:pPr>
      <w:r>
        <w:rPr>
          <w:rFonts w:hint="eastAsia" w:cs="宋体" w:asciiTheme="majorEastAsia" w:hAnsiTheme="majorEastAsia" w:eastAsiaTheme="majorEastAsia"/>
          <w:bCs/>
          <w:kern w:val="0"/>
          <w:sz w:val="44"/>
          <w:szCs w:val="44"/>
        </w:rPr>
        <w:t>关于组织</w:t>
      </w:r>
      <w:r>
        <w:rPr>
          <w:rFonts w:hint="eastAsia" w:cs="宋体" w:asciiTheme="majorEastAsia" w:hAnsiTheme="majorEastAsia" w:eastAsiaTheme="majorEastAsia"/>
          <w:kern w:val="0"/>
          <w:sz w:val="44"/>
          <w:szCs w:val="44"/>
        </w:rPr>
        <w:t>北京市教育科学</w:t>
      </w:r>
    </w:p>
    <w:p w14:paraId="6E7955C9">
      <w:pPr>
        <w:snapToGrid w:val="0"/>
        <w:spacing w:line="600" w:lineRule="atLeast"/>
        <w:jc w:val="center"/>
        <w:rPr>
          <w:rFonts w:ascii="宋体" w:hAnsi="宋体" w:cs="宋体"/>
          <w:kern w:val="0"/>
          <w:sz w:val="36"/>
          <w:szCs w:val="36"/>
        </w:rPr>
      </w:pPr>
      <w:r>
        <w:rPr>
          <w:rFonts w:hint="eastAsia" w:cs="宋体" w:asciiTheme="majorEastAsia" w:hAnsiTheme="majorEastAsia" w:eastAsiaTheme="majorEastAsia"/>
          <w:kern w:val="0"/>
          <w:sz w:val="44"/>
          <w:szCs w:val="44"/>
        </w:rPr>
        <w:t>“十</w:t>
      </w:r>
      <w:r>
        <w:rPr>
          <w:rFonts w:hint="eastAsia" w:cs="宋体" w:asciiTheme="majorEastAsia" w:hAnsiTheme="majorEastAsia" w:eastAsiaTheme="majorEastAsia"/>
          <w:kern w:val="0"/>
          <w:sz w:val="44"/>
          <w:szCs w:val="44"/>
          <w:lang w:val="en-US" w:eastAsia="zh-CN"/>
        </w:rPr>
        <w:t>五</w:t>
      </w:r>
      <w:r>
        <w:rPr>
          <w:rFonts w:hint="eastAsia" w:cs="宋体" w:asciiTheme="majorEastAsia" w:hAnsiTheme="majorEastAsia" w:eastAsiaTheme="majorEastAsia"/>
          <w:kern w:val="0"/>
          <w:sz w:val="44"/>
          <w:szCs w:val="44"/>
        </w:rPr>
        <w:t>五”规划202</w:t>
      </w:r>
      <w:r>
        <w:rPr>
          <w:rFonts w:hint="eastAsia" w:cs="宋体" w:asciiTheme="majorEastAsia" w:hAnsiTheme="majorEastAsia" w:eastAsiaTheme="majorEastAsia"/>
          <w:kern w:val="0"/>
          <w:sz w:val="44"/>
          <w:szCs w:val="44"/>
          <w:lang w:val="en-US" w:eastAsia="zh-CN"/>
        </w:rPr>
        <w:t>6</w:t>
      </w:r>
      <w:r>
        <w:rPr>
          <w:rFonts w:hint="eastAsia" w:cs="宋体" w:asciiTheme="majorEastAsia" w:hAnsiTheme="majorEastAsia" w:eastAsiaTheme="majorEastAsia"/>
          <w:kern w:val="0"/>
          <w:sz w:val="44"/>
          <w:szCs w:val="44"/>
        </w:rPr>
        <w:t>年度课题申报的通知</w:t>
      </w:r>
    </w:p>
    <w:p w14:paraId="3FDCFC53">
      <w:pPr>
        <w:shd w:val="clear" w:color="auto" w:fill="FFFFFF"/>
        <w:spacing w:line="384" w:lineRule="auto"/>
        <w:jc w:val="left"/>
        <w:rPr>
          <w:rFonts w:ascii="黑体" w:hAnsi="宋体" w:eastAsia="黑体" w:cs="宋体"/>
          <w:color w:val="333333"/>
          <w:kern w:val="0"/>
          <w:sz w:val="30"/>
          <w:szCs w:val="30"/>
        </w:rPr>
      </w:pPr>
    </w:p>
    <w:p w14:paraId="1BC8E32E">
      <w:pPr>
        <w:shd w:val="clear" w:color="auto" w:fill="FFFFFF"/>
        <w:spacing w:line="384" w:lineRule="auto"/>
        <w:jc w:val="left"/>
        <w:rPr>
          <w:rFonts w:ascii="黑体" w:hAnsi="宋体" w:eastAsia="黑体" w:cs="宋体"/>
          <w:color w:val="333333"/>
          <w:kern w:val="0"/>
          <w:sz w:val="30"/>
          <w:szCs w:val="30"/>
        </w:rPr>
      </w:pPr>
      <w:r>
        <w:rPr>
          <w:rFonts w:hint="eastAsia" w:ascii="黑体" w:hAnsi="宋体" w:eastAsia="黑体" w:cs="宋体"/>
          <w:color w:val="333333"/>
          <w:kern w:val="0"/>
          <w:sz w:val="30"/>
          <w:szCs w:val="30"/>
        </w:rPr>
        <w:t>各有关单位：</w:t>
      </w:r>
    </w:p>
    <w:p w14:paraId="04C02C30">
      <w:pPr>
        <w:shd w:val="clear" w:color="auto" w:fill="FFFFFF"/>
        <w:spacing w:line="384" w:lineRule="auto"/>
        <w:jc w:val="left"/>
        <w:rPr>
          <w:rFonts w:ascii="仿宋_GB2312" w:eastAsia="仿宋_GB2312"/>
          <w:color w:val="000000"/>
          <w:sz w:val="32"/>
          <w:szCs w:val="32"/>
        </w:rPr>
      </w:pPr>
      <w:r>
        <w:rPr>
          <w:rFonts w:hint="eastAsia" w:ascii="宋体" w:hAnsi="宋体" w:cs="宋体"/>
          <w:color w:val="333333"/>
          <w:kern w:val="0"/>
          <w:szCs w:val="21"/>
        </w:rPr>
        <w:t>   </w:t>
      </w:r>
      <w:r>
        <w:rPr>
          <w:rFonts w:hint="eastAsia" w:ascii="仿宋_GB2312" w:eastAsia="仿宋_GB2312"/>
          <w:color w:val="000000"/>
          <w:sz w:val="32"/>
          <w:szCs w:val="32"/>
        </w:rPr>
        <w:t>北京市教育科学“十</w:t>
      </w:r>
      <w:r>
        <w:rPr>
          <w:rFonts w:hint="eastAsia" w:ascii="仿宋_GB2312" w:eastAsia="仿宋_GB2312"/>
          <w:color w:val="000000"/>
          <w:sz w:val="32"/>
          <w:szCs w:val="32"/>
          <w:lang w:val="en-US" w:eastAsia="zh-CN"/>
        </w:rPr>
        <w:t>五</w:t>
      </w:r>
      <w:r>
        <w:rPr>
          <w:rFonts w:hint="eastAsia" w:ascii="仿宋_GB2312" w:eastAsia="仿宋_GB2312"/>
          <w:color w:val="000000"/>
          <w:sz w:val="32"/>
          <w:szCs w:val="32"/>
        </w:rPr>
        <w:t>五”规划202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年度课题申报工作正式启动，请结合《北京市教育科学“十</w:t>
      </w:r>
      <w:r>
        <w:rPr>
          <w:rFonts w:hint="eastAsia" w:ascii="仿宋_GB2312" w:eastAsia="仿宋_GB2312"/>
          <w:color w:val="000000"/>
          <w:sz w:val="32"/>
          <w:szCs w:val="32"/>
          <w:lang w:val="en-US" w:eastAsia="zh-CN"/>
        </w:rPr>
        <w:t>五</w:t>
      </w:r>
      <w:r>
        <w:rPr>
          <w:rFonts w:hint="eastAsia" w:ascii="仿宋_GB2312" w:eastAsia="仿宋_GB2312"/>
          <w:color w:val="000000"/>
          <w:sz w:val="32"/>
          <w:szCs w:val="32"/>
        </w:rPr>
        <w:t>五”规划20</w:t>
      </w:r>
      <w:r>
        <w:rPr>
          <w:rFonts w:ascii="仿宋_GB2312" w:eastAsia="仿宋_GB2312"/>
          <w:color w:val="000000"/>
          <w:sz w:val="32"/>
          <w:szCs w:val="32"/>
        </w:rPr>
        <w:t>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年度课题指南》，并按《北京市教育科学规划课题管理办法》的要求，认真组织好202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年度的申报工作。现将有关事项通知如下：</w:t>
      </w:r>
    </w:p>
    <w:p w14:paraId="5B6BE40F">
      <w:pPr>
        <w:shd w:val="clear" w:color="auto" w:fill="FFFFFF"/>
        <w:spacing w:line="384" w:lineRule="auto"/>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一、选题要求</w:t>
      </w:r>
    </w:p>
    <w:p w14:paraId="0E7B084C">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（一）北京市教育科学“十五五”规划2026年度课题分为九个研究领域：</w:t>
      </w:r>
    </w:p>
    <w:p w14:paraId="56ABE329">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1.教育宏观战略与政策研究</w:t>
      </w:r>
    </w:p>
    <w:p w14:paraId="04B0282E">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2.教育基本理论与国际比较研究</w:t>
      </w:r>
    </w:p>
    <w:p w14:paraId="248C1D3F">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3.教育治理体系与资源配置研究</w:t>
      </w:r>
    </w:p>
    <w:p w14:paraId="54547FD4">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4.课程、教学、评价改革研究</w:t>
      </w:r>
    </w:p>
    <w:p w14:paraId="3013FDFC">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5.学生发展研究</w:t>
      </w:r>
    </w:p>
    <w:p w14:paraId="66F1A793">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6.教育人才队伍建设研究</w:t>
      </w:r>
    </w:p>
    <w:p w14:paraId="33401F2F">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7.教育信息化研究  </w:t>
      </w:r>
    </w:p>
    <w:p w14:paraId="0C2BD27D">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8.德育与心理健康教育研究</w:t>
      </w:r>
    </w:p>
    <w:p w14:paraId="34248CB2">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9.终身学习体系建设与可持续发展教育研究</w:t>
      </w:r>
    </w:p>
    <w:p w14:paraId="5681B8A1">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（二）各领域分为“教育决策咨询研究”“教育基础理论研究”“教育教学实践研究”三个研究方向。</w:t>
      </w:r>
    </w:p>
    <w:p w14:paraId="11CB6CA3">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（三）2026年度课题类别包括以下七大类，分别为：重大课题、优先关注课题、重点课题、青年专项课题、延续课题、一般课题和临时专项课题。</w:t>
      </w:r>
    </w:p>
    <w:p w14:paraId="22CF809B">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1.重大课题、优先关注课题以课题指南为准，申请者不得更改研究题目。研究内容应具有创新性，取得的研究成果应具有较高理论价值或实践价值。研究者根据自己的专长和基础选取独特的切入点进行研究设计。</w:t>
      </w:r>
    </w:p>
    <w:p w14:paraId="344EF21C">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2.重点课题、青年专项课题、一般课题的申请者可根据自己的研究方向和研究基础，从九个研究领域自行设计课题名称和研究内容。</w:t>
      </w:r>
    </w:p>
    <w:p w14:paraId="79463965">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3.延续课题以已结题的北京市教育科学规划课题为研究基础确定选题，对原选题开展持续研究，注重研究内容的纵深性。</w:t>
      </w:r>
    </w:p>
    <w:p w14:paraId="4C994951">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4.临时专项课题旨在解决当前首都教育改革与发展中面临的急难问题。</w:t>
      </w:r>
    </w:p>
    <w:p w14:paraId="5897818B">
      <w:pPr>
        <w:shd w:val="clear" w:color="auto" w:fill="FFFFFF"/>
        <w:spacing w:line="384" w:lineRule="auto"/>
        <w:ind w:firstLine="640" w:firstLineChars="200"/>
        <w:jc w:val="left"/>
        <w:rPr>
          <w:rFonts w:ascii="仿宋_GB2312" w:hAnsi="宋体" w:eastAsia="仿宋_GB2312" w:cs="宋体"/>
          <w:kern w:val="0"/>
          <w:sz w:val="32"/>
          <w:szCs w:val="32"/>
        </w:rPr>
      </w:pPr>
      <w:r>
        <w:rPr>
          <w:rFonts w:hint="eastAsia" w:ascii="仿宋_GB2312" w:eastAsia="仿宋_GB2312"/>
          <w:color w:val="000000"/>
          <w:sz w:val="32"/>
          <w:szCs w:val="32"/>
        </w:rPr>
        <w:t>申请者填写课题申请书时，需明确填写课题所属研究领域、研究方向和课题类别。</w:t>
      </w:r>
    </w:p>
    <w:p w14:paraId="4751953A">
      <w:pPr>
        <w:shd w:val="clear" w:color="auto" w:fill="FFFFFF"/>
        <w:spacing w:line="384" w:lineRule="auto"/>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二、资助方式</w:t>
      </w:r>
    </w:p>
    <w:p w14:paraId="4317E005">
      <w:pPr>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北京市教育科学规划课题以出优秀成果、出人才为目标，坚持以人为本、遵循规划、依法规范、公正合理和安全高效的原则，采取“研究资助”和“奖励资助”相结合的管理方式。</w:t>
      </w:r>
    </w:p>
    <w:p w14:paraId="376030F5">
      <w:pPr>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北京市教育科学“十五五”规划2026年度课题对重大课题、优先关注课题、重点课题、青年专项课题、延续课题予以“研究资助”和“奖励资助”；临时专项课题提供一次性研究资助。“研究资助”平均额度为：重大课题28万元，优先关注课题14万元，重点课题7万元，青年专项课题3.5万元，延续课题7万元，临时专项课题10万元。“奖励资助”额度根据课题类别和结题鉴定等级确定，具体奖励标准见《北京市教育科学规划课题管理办法》规定。</w:t>
      </w:r>
    </w:p>
    <w:p w14:paraId="5F914198">
      <w:pPr>
        <w:adjustRightInd w:val="0"/>
        <w:snapToGrid w:val="0"/>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申请者须根据研究工作的实际需要，按照资助标准，进行合理的经费预算。课题负责人应慎重预算。实际资助经费额度以最终评审结果为准。</w:t>
      </w:r>
    </w:p>
    <w:p w14:paraId="39A5B69E">
      <w:pPr>
        <w:shd w:val="clear" w:color="auto" w:fill="FFFFFF"/>
        <w:spacing w:line="384" w:lineRule="auto"/>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三、申请人条件</w:t>
      </w:r>
    </w:p>
    <w:p w14:paraId="388D2A85">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（一）拥护中国共产党领导和社会主义制度，遵守中华人民共和国宪法和法律，具有良好的政治素质和道德品行。</w:t>
      </w:r>
    </w:p>
    <w:p w14:paraId="3B257DC4">
      <w:pPr>
        <w:widowControl/>
        <w:adjustRightInd w:val="0"/>
        <w:snapToGrid w:val="0"/>
        <w:spacing w:line="560" w:lineRule="exact"/>
        <w:ind w:firstLine="640" w:firstLineChars="200"/>
        <w:rPr>
          <w:rFonts w:hint="eastAsia" w:ascii="仿宋_GB2312" w:hAnsi="宋体" w:eastAsia="仿宋_GB2312" w:cs="宋体"/>
          <w:kern w:val="0"/>
          <w:sz w:val="32"/>
          <w:szCs w:val="32"/>
        </w:rPr>
      </w:pPr>
    </w:p>
    <w:p w14:paraId="28E627A9">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（二）北京市教育科学规划课题申请人须具有副高级以上专业技术职务或博士学位。不具备副高级以上专业技术职务或博士学位的，须由2名具有副高级以上专业技术职务的同行专家推荐 。</w:t>
      </w:r>
    </w:p>
    <w:p w14:paraId="2C3A57CE">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（三）申请重大课题者应具有正高级专业技术职务，具有深厚的学术研究功底与学术造诣，能有效组织研究团队，调动各种资源开展研究。</w:t>
      </w:r>
    </w:p>
    <w:p w14:paraId="4C9DBE43">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（四）延续课题申请人应为结题后五年内的课题负责人。</w:t>
      </w:r>
    </w:p>
    <w:p w14:paraId="34FB2C5F">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（五）申请一般课题，须提供申请人所在单位的经费保障证明。</w:t>
      </w:r>
    </w:p>
    <w:p w14:paraId="7CD1413D">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（六）申请青年专项课题者（包括课题组成员）年龄不得超过40周岁（1986年1月1日之后出生）。</w:t>
      </w:r>
    </w:p>
    <w:p w14:paraId="771E2414">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（七）课题负责人只能申请1项课题，</w:t>
      </w:r>
      <w:r>
        <w:rPr>
          <w:rFonts w:hint="eastAsia" w:ascii="仿宋_GB2312" w:hAnsi="宋体" w:eastAsia="仿宋_GB2312" w:cs="宋体"/>
          <w:b/>
          <w:bCs/>
          <w:kern w:val="0"/>
          <w:sz w:val="32"/>
          <w:szCs w:val="32"/>
        </w:rPr>
        <w:t>同年申请全国教育科学规划课题的负责人不得申请北京市教育科学规划课题。</w:t>
      </w:r>
    </w:p>
    <w:p w14:paraId="6E528F62">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（八）正在承担全国教育科学规划课题或北京市教育科学规划课题的负责人不得申请北京市教育科学规划课题。</w:t>
      </w:r>
    </w:p>
    <w:p w14:paraId="41A8B74F">
      <w:pPr>
        <w:widowControl/>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（九）全日制在读研究生不得申请北京教育科学规划课题，具备申请条件的在职博士生（博士后）应在所属工作单位进行申请。</w:t>
      </w:r>
    </w:p>
    <w:p w14:paraId="70A4DD6F">
      <w:pPr>
        <w:shd w:val="clear" w:color="auto" w:fill="FFFFFF"/>
        <w:spacing w:line="384" w:lineRule="auto"/>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四、完成时限</w:t>
      </w:r>
    </w:p>
    <w:p w14:paraId="1847E052">
      <w:pPr>
        <w:shd w:val="clear" w:color="auto" w:fill="FFFFFF"/>
        <w:spacing w:line="384" w:lineRule="auto"/>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（一）教育决策咨询类课题要求在1—2年内完成；教育基础理论类课题、教育教学实践类课题要求在3—4年内完成；临时专项课题1年内完成。</w:t>
      </w:r>
    </w:p>
    <w:p w14:paraId="7DBA5F4C">
      <w:pPr>
        <w:shd w:val="clear" w:color="auto" w:fill="FFFFFF"/>
        <w:spacing w:line="384" w:lineRule="auto"/>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（二）研究期限自课题批准立项之日起计算，课题延期或相关变更须报请北京市教育科学规划领导小组办公室批准备案。</w:t>
      </w:r>
    </w:p>
    <w:p w14:paraId="0C0A5AF8">
      <w:pPr>
        <w:shd w:val="clear" w:color="auto" w:fill="FFFFFF"/>
        <w:spacing w:line="384" w:lineRule="auto"/>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五、申请要求</w:t>
      </w:r>
    </w:p>
    <w:p w14:paraId="20388DF2">
      <w:pPr>
        <w:widowControl/>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（一）申报额度</w:t>
      </w:r>
    </w:p>
    <w:p w14:paraId="5EF984B1">
      <w:pPr>
        <w:widowControl/>
        <w:adjustRightInd w:val="0"/>
        <w:snapToGrid w:val="0"/>
        <w:spacing w:line="56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根据北京教育科学规划办的要求，从今年开始北京教育科学规划课题限额申报。我</w:t>
      </w:r>
      <w:r>
        <w:rPr>
          <w:rFonts w:hint="eastAsia" w:ascii="仿宋_GB2312" w:hAnsi="宋体" w:eastAsia="仿宋_GB2312" w:cs="宋体"/>
          <w:kern w:val="0"/>
          <w:sz w:val="32"/>
          <w:szCs w:val="32"/>
          <w:lang w:val="en-US" w:eastAsia="zh-CN"/>
        </w:rPr>
        <w:t>院</w:t>
      </w:r>
      <w:r>
        <w:rPr>
          <w:rFonts w:hint="eastAsia" w:ascii="仿宋_GB2312" w:hAnsi="宋体" w:eastAsia="仿宋_GB2312" w:cs="宋体"/>
          <w:kern w:val="0"/>
          <w:sz w:val="32"/>
          <w:szCs w:val="32"/>
        </w:rPr>
        <w:t>2026年的申报额度是</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项（除重大课题以外）。</w:t>
      </w:r>
      <w:r>
        <w:rPr>
          <w:rFonts w:hint="eastAsia" w:ascii="仿宋_GB2312" w:hAnsi="宋体" w:eastAsia="仿宋_GB2312" w:cs="宋体"/>
          <w:kern w:val="0"/>
          <w:sz w:val="32"/>
          <w:szCs w:val="32"/>
          <w:lang w:val="en-US" w:eastAsia="zh-CN"/>
        </w:rPr>
        <w:t>以后上级将根据各单位申报情况、各类别课题立项情况、结题质量等因素综合测算各单位申报额度。</w:t>
      </w:r>
    </w:p>
    <w:p w14:paraId="2054C13E">
      <w:pPr>
        <w:widowControl/>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（二）文本报送</w:t>
      </w:r>
    </w:p>
    <w:p w14:paraId="53EB95FA">
      <w:pPr>
        <w:widowControl/>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2026年课题申请采取网上申请与文本报送两种形式，重大课题不进行网上申请。申请书文本要求一律用计算机填写。</w:t>
      </w:r>
    </w:p>
    <w:p w14:paraId="6BB683D9">
      <w:pPr>
        <w:widowControl/>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1.重大课题</w:t>
      </w:r>
    </w:p>
    <w:p w14:paraId="6FEB21B1">
      <w:pPr>
        <w:widowControl/>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重大课题采取会议评审或特别委托的方式评审。申请者填写《北京市教育科学“十五五”规划重大课题申请书（2026年度）》（见附件），于4月</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日前将电子版（邮件名标注“北京市教育科学规划课题申报”）发送至</w:t>
      </w:r>
      <w:r>
        <w:rPr>
          <w:rFonts w:hint="eastAsia" w:ascii="仿宋_GB2312" w:hAnsi="宋体" w:eastAsia="仿宋_GB2312" w:cs="宋体"/>
          <w:kern w:val="0"/>
          <w:sz w:val="32"/>
          <w:szCs w:val="32"/>
          <w:lang w:val="en-US" w:eastAsia="zh-CN"/>
        </w:rPr>
        <w:t>邮箱</w:t>
      </w:r>
      <w:r>
        <w:rPr>
          <w:rFonts w:hint="eastAsia" w:ascii="仿宋_GB2312" w:eastAsia="仿宋_GB2312"/>
          <w:color w:val="000000"/>
          <w:sz w:val="32"/>
          <w:szCs w:val="32"/>
        </w:rPr>
        <w:t>gaoyanrong@bjypc.edu.cn</w:t>
      </w:r>
      <w:r>
        <w:rPr>
          <w:rFonts w:hint="eastAsia" w:ascii="仿宋_GB2312" w:hAnsi="宋体" w:eastAsia="仿宋_GB2312" w:cs="宋体"/>
          <w:kern w:val="0"/>
          <w:sz w:val="32"/>
          <w:szCs w:val="32"/>
        </w:rPr>
        <w:t>，</w:t>
      </w:r>
      <w:r>
        <w:rPr>
          <w:rFonts w:hint="eastAsia" w:ascii="仿宋_GB2312" w:eastAsia="仿宋_GB2312"/>
          <w:color w:val="000000"/>
          <w:sz w:val="32"/>
          <w:szCs w:val="32"/>
        </w:rPr>
        <w:t>待审</w:t>
      </w:r>
      <w:r>
        <w:rPr>
          <w:rFonts w:hint="eastAsia" w:ascii="仿宋_GB2312" w:hAnsi="宋体" w:eastAsia="仿宋_GB2312" w:cs="宋体"/>
          <w:kern w:val="0"/>
          <w:sz w:val="32"/>
          <w:szCs w:val="32"/>
        </w:rPr>
        <w:t>核通过后按照要求打印文本材料并签</w:t>
      </w:r>
      <w:r>
        <w:rPr>
          <w:rFonts w:hint="eastAsia" w:ascii="仿宋_GB2312" w:hAnsi="宋体" w:eastAsia="仿宋_GB2312" w:cs="宋体"/>
          <w:kern w:val="0"/>
          <w:sz w:val="32"/>
          <w:szCs w:val="32"/>
          <w:lang w:val="en-US" w:eastAsia="zh-CN"/>
        </w:rPr>
        <w:t>名后</w:t>
      </w:r>
      <w:r>
        <w:rPr>
          <w:rFonts w:hint="eastAsia" w:ascii="仿宋_GB2312" w:hAnsi="宋体" w:eastAsia="仿宋_GB2312" w:cs="宋体"/>
          <w:kern w:val="0"/>
          <w:sz w:val="32"/>
          <w:szCs w:val="32"/>
        </w:rPr>
        <w:t>交</w:t>
      </w:r>
      <w:r>
        <w:rPr>
          <w:rFonts w:hint="eastAsia" w:ascii="仿宋_GB2312" w:hAnsi="宋体" w:eastAsia="仿宋_GB2312" w:cs="宋体"/>
          <w:kern w:val="0"/>
          <w:sz w:val="32"/>
          <w:szCs w:val="32"/>
          <w:lang w:val="en-US" w:eastAsia="zh-CN"/>
        </w:rPr>
        <w:t>科研</w:t>
      </w:r>
      <w:r>
        <w:rPr>
          <w:rFonts w:hint="eastAsia" w:ascii="仿宋_GB2312" w:hAnsi="宋体" w:eastAsia="仿宋_GB2312" w:cs="宋体"/>
          <w:kern w:val="0"/>
          <w:sz w:val="32"/>
          <w:szCs w:val="32"/>
        </w:rPr>
        <w:t>处。</w:t>
      </w:r>
    </w:p>
    <w:p w14:paraId="4ED70122">
      <w:pPr>
        <w:widowControl/>
        <w:adjustRightInd w:val="0"/>
        <w:snapToGrid w:val="0"/>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2.其他类别课题实行网上申请与文本报送</w:t>
      </w:r>
    </w:p>
    <w:p w14:paraId="735E36F6">
      <w:pPr>
        <w:shd w:val="clear" w:color="auto" w:fill="FFFFFF"/>
        <w:spacing w:line="384" w:lineRule="auto"/>
        <w:ind w:firstLine="640"/>
        <w:jc w:val="left"/>
        <w:rPr>
          <w:rFonts w:ascii="仿宋_GB2312" w:eastAsia="仿宋_GB2312"/>
          <w:color w:val="000000"/>
          <w:sz w:val="32"/>
          <w:szCs w:val="32"/>
        </w:rPr>
      </w:pPr>
      <w:r>
        <w:rPr>
          <w:rFonts w:hint="eastAsia" w:ascii="仿宋_GB2312" w:eastAsia="仿宋_GB2312"/>
          <w:color w:val="000000"/>
          <w:sz w:val="32"/>
          <w:szCs w:val="32"/>
        </w:rPr>
        <w:t>请有意申报的教师于</w:t>
      </w:r>
      <w:r>
        <w:rPr>
          <w:rFonts w:ascii="仿宋_GB2312" w:eastAsia="仿宋_GB2312"/>
          <w:b/>
          <w:color w:val="000000"/>
          <w:sz w:val="32"/>
          <w:szCs w:val="32"/>
        </w:rPr>
        <w:t>4</w:t>
      </w:r>
      <w:r>
        <w:rPr>
          <w:rFonts w:hint="eastAsia" w:ascii="仿宋_GB2312" w:eastAsia="仿宋_GB2312"/>
          <w:b/>
          <w:color w:val="000000"/>
          <w:sz w:val="32"/>
          <w:szCs w:val="32"/>
        </w:rPr>
        <w:t>月</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日前</w:t>
      </w:r>
      <w:r>
        <w:rPr>
          <w:rFonts w:hint="eastAsia" w:ascii="仿宋_GB2312" w:eastAsia="仿宋_GB2312"/>
          <w:color w:val="000000"/>
          <w:sz w:val="32"/>
          <w:szCs w:val="32"/>
          <w:lang w:val="en-US" w:eastAsia="zh-CN"/>
        </w:rPr>
        <w:t>将电子版申请书发送</w:t>
      </w:r>
      <w:r>
        <w:rPr>
          <w:rFonts w:hint="eastAsia" w:ascii="仿宋_GB2312" w:hAnsi="宋体" w:eastAsia="仿宋_GB2312" w:cs="宋体"/>
          <w:kern w:val="0"/>
          <w:sz w:val="32"/>
          <w:szCs w:val="32"/>
        </w:rPr>
        <w:t>至</w:t>
      </w:r>
      <w:r>
        <w:rPr>
          <w:rFonts w:hint="eastAsia" w:ascii="仿宋_GB2312" w:hAnsi="宋体" w:eastAsia="仿宋_GB2312" w:cs="宋体"/>
          <w:kern w:val="0"/>
          <w:sz w:val="32"/>
          <w:szCs w:val="32"/>
          <w:lang w:val="en-US" w:eastAsia="zh-CN"/>
        </w:rPr>
        <w:t>邮箱</w:t>
      </w:r>
      <w:r>
        <w:rPr>
          <w:rFonts w:hint="eastAsia" w:ascii="仿宋_GB2312" w:eastAsia="仿宋_GB2312"/>
          <w:color w:val="000000"/>
          <w:sz w:val="32"/>
          <w:szCs w:val="32"/>
        </w:rPr>
        <w:t>gaoyanrong@bjypc.edu.cn，经科研处</w:t>
      </w:r>
      <w:r>
        <w:rPr>
          <w:rFonts w:hint="eastAsia" w:ascii="仿宋_GB2312" w:eastAsia="仿宋_GB2312"/>
          <w:color w:val="000000"/>
          <w:sz w:val="32"/>
          <w:szCs w:val="32"/>
          <w:lang w:val="en-US" w:eastAsia="zh-CN"/>
        </w:rPr>
        <w:t>根据上报情况组织专家评审后，按照限额数量择优推荐上报。得到推荐上报通知的项目于2026年4月10日前完成</w:t>
      </w:r>
      <w:r>
        <w:rPr>
          <w:rFonts w:hint="eastAsia" w:ascii="仿宋_GB2312" w:eastAsia="仿宋_GB2312"/>
          <w:color w:val="000000"/>
          <w:sz w:val="32"/>
          <w:szCs w:val="32"/>
        </w:rPr>
        <w:t>网上填报</w:t>
      </w:r>
      <w:r>
        <w:rPr>
          <w:rFonts w:hint="eastAsia" w:ascii="仿宋_GB2312" w:eastAsia="仿宋_GB2312"/>
          <w:color w:val="000000"/>
          <w:sz w:val="32"/>
          <w:szCs w:val="32"/>
          <w:lang w:eastAsia="zh-CN"/>
        </w:rPr>
        <w:t>，</w:t>
      </w:r>
      <w:r>
        <w:rPr>
          <w:rFonts w:hint="eastAsia" w:ascii="仿宋_GB2312" w:eastAsia="仿宋_GB2312"/>
          <w:color w:val="000000"/>
          <w:sz w:val="32"/>
          <w:szCs w:val="32"/>
        </w:rPr>
        <w:t>网上申请网址为北京市教育科学规划网：http://www.gh.bjedu.cn。申报流程及所需材料参见本通知附件。如申请人无法注册登录，请及时与我院科研处联系，电话：84778417。</w:t>
      </w:r>
      <w:bookmarkStart w:id="0" w:name="_GoBack"/>
      <w:bookmarkEnd w:id="0"/>
      <w:r>
        <w:rPr>
          <w:rFonts w:hint="eastAsia" w:ascii="仿宋_GB2312" w:eastAsia="仿宋_GB2312"/>
          <w:color w:val="000000"/>
          <w:sz w:val="32"/>
          <w:szCs w:val="32"/>
        </w:rPr>
        <w:t>待北京市教育科学规划办审核及反馈修改意见通过后，科研处再通知各位申报教师打印并报送打印文本材料至科研处，过期将不予受理。</w:t>
      </w:r>
    </w:p>
    <w:p w14:paraId="006F797A">
      <w:pPr>
        <w:shd w:val="clear" w:color="auto" w:fill="FFFFFF"/>
        <w:spacing w:line="384" w:lineRule="auto"/>
        <w:jc w:val="left"/>
        <w:rPr>
          <w:rFonts w:ascii="仿宋_GB2312" w:eastAsia="仿宋_GB2312"/>
          <w:color w:val="000000"/>
          <w:sz w:val="32"/>
          <w:szCs w:val="32"/>
        </w:rPr>
      </w:pPr>
      <w:r>
        <w:rPr>
          <w:rFonts w:hint="eastAsia" w:ascii="仿宋_GB2312" w:eastAsia="仿宋_GB2312"/>
          <w:color w:val="000000"/>
          <w:sz w:val="32"/>
          <w:szCs w:val="32"/>
        </w:rPr>
        <w:t xml:space="preserve">    </w:t>
      </w:r>
      <w:r>
        <w:rPr>
          <w:rFonts w:hint="eastAsia" w:ascii="黑体" w:hAnsi="黑体" w:eastAsia="黑体"/>
          <w:color w:val="000000"/>
          <w:sz w:val="32"/>
          <w:szCs w:val="32"/>
        </w:rPr>
        <w:t xml:space="preserve"> 六、报送材料要求</w:t>
      </w:r>
    </w:p>
    <w:p w14:paraId="4F93E568">
      <w:pPr>
        <w:shd w:val="clear" w:color="auto" w:fill="FFFFFF"/>
        <w:spacing w:line="384" w:lineRule="auto"/>
        <w:jc w:val="left"/>
        <w:rPr>
          <w:rFonts w:ascii="仿宋_GB2312" w:eastAsia="仿宋_GB2312"/>
          <w:color w:val="000000"/>
          <w:sz w:val="32"/>
          <w:szCs w:val="32"/>
        </w:rPr>
      </w:pPr>
      <w:r>
        <w:rPr>
          <w:rFonts w:hint="eastAsia" w:ascii="仿宋_GB2312" w:eastAsia="仿宋_GB2312"/>
          <w:color w:val="000000"/>
          <w:sz w:val="32"/>
          <w:szCs w:val="32"/>
        </w:rPr>
        <w:t xml:space="preserve">    （一）报送重大课题文本材料包括：</w:t>
      </w:r>
    </w:p>
    <w:p w14:paraId="77D4A770">
      <w:pPr>
        <w:shd w:val="clear" w:color="auto" w:fill="FFFFFF"/>
        <w:spacing w:line="384" w:lineRule="auto"/>
        <w:ind w:firstLine="645"/>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1.审查合格《重大课题申请书》一式10份（原件1份，复印件9份），并将《申请书》封皮复印10份，分别贴在10个档案袋正面，以便识别；</w:t>
      </w:r>
      <w:r>
        <w:fldChar w:fldCharType="begin"/>
      </w:r>
      <w:r>
        <w:instrText xml:space="preserve"> HYPERLINK "mailto:电子版发gaoyanrong@bjypc.edu.cn" </w:instrText>
      </w:r>
      <w:r>
        <w:fldChar w:fldCharType="separate"/>
      </w:r>
      <w:r>
        <w:rPr>
          <w:rStyle w:val="8"/>
          <w:rFonts w:hint="eastAsia" w:ascii="仿宋_GB2312" w:eastAsia="仿宋_GB2312"/>
          <w:color w:val="000000" w:themeColor="text1"/>
          <w:sz w:val="32"/>
          <w:szCs w:val="32"/>
          <w14:textFill>
            <w14:solidFill>
              <w14:schemeClr w14:val="tx1"/>
            </w14:solidFill>
          </w14:textFill>
        </w:rPr>
        <w:t>电子版发gaoyanrong@bjypc.edu.cn</w:t>
      </w:r>
      <w:r>
        <w:rPr>
          <w:rStyle w:val="8"/>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t>。</w:t>
      </w:r>
    </w:p>
    <w:p w14:paraId="34286521">
      <w:pPr>
        <w:shd w:val="clear" w:color="auto" w:fill="FFFFFF"/>
        <w:spacing w:line="384" w:lineRule="auto"/>
        <w:ind w:firstLine="645"/>
        <w:jc w:val="left"/>
        <w:rPr>
          <w:rFonts w:ascii="仿宋_GB2312" w:eastAsia="仿宋_GB2312"/>
          <w:color w:val="000000"/>
          <w:sz w:val="32"/>
          <w:szCs w:val="32"/>
        </w:rPr>
      </w:pPr>
      <w:r>
        <w:rPr>
          <w:rFonts w:hint="eastAsia" w:ascii="仿宋_GB2312" w:eastAsia="仿宋_GB2312"/>
          <w:color w:val="000000"/>
          <w:sz w:val="32"/>
          <w:szCs w:val="32"/>
        </w:rPr>
        <w:t>2.请将《申请书》封底“投标材料袋背面粘贴表”的课题组成员名单复印10份，分别贴在10个档案袋背面，以便选择评审专家时回避。</w:t>
      </w:r>
    </w:p>
    <w:p w14:paraId="0CBC7D21">
      <w:pPr>
        <w:shd w:val="clear" w:color="auto" w:fill="FFFFFF"/>
        <w:spacing w:line="384" w:lineRule="auto"/>
        <w:jc w:val="left"/>
        <w:rPr>
          <w:rFonts w:ascii="仿宋_GB2312" w:eastAsia="仿宋_GB2312"/>
          <w:color w:val="000000"/>
          <w:sz w:val="32"/>
          <w:szCs w:val="32"/>
        </w:rPr>
      </w:pPr>
      <w:r>
        <w:rPr>
          <w:rFonts w:hint="eastAsia" w:ascii="仿宋_GB2312" w:eastAsia="仿宋_GB2312"/>
          <w:color w:val="000000"/>
          <w:sz w:val="32"/>
          <w:szCs w:val="32"/>
        </w:rPr>
        <w:t xml:space="preserve">    （二）报送其他类别课题文本材料包括：</w:t>
      </w:r>
    </w:p>
    <w:p w14:paraId="3619222C">
      <w:pPr>
        <w:shd w:val="clear" w:color="auto" w:fill="FFFFFF"/>
        <w:spacing w:line="384" w:lineRule="auto"/>
        <w:jc w:val="left"/>
        <w:rPr>
          <w:rFonts w:ascii="仿宋_GB2312" w:eastAsia="仿宋_GB2312"/>
          <w:color w:val="000000"/>
          <w:sz w:val="32"/>
          <w:szCs w:val="32"/>
        </w:rPr>
      </w:pPr>
      <w:r>
        <w:rPr>
          <w:rFonts w:hint="eastAsia" w:ascii="仿宋_GB2312" w:eastAsia="仿宋_GB2312"/>
          <w:color w:val="000000"/>
          <w:sz w:val="32"/>
          <w:szCs w:val="32"/>
        </w:rPr>
        <w:t xml:space="preserve">    1.下载打印市教育科学规划办审核合格的带“北京市教育科学规划领导小组办公室”水印《课题申请书》原件2份。</w:t>
      </w:r>
    </w:p>
    <w:p w14:paraId="7D40BAE3">
      <w:pPr>
        <w:shd w:val="clear" w:color="auto" w:fill="FFFFFF"/>
        <w:spacing w:line="384" w:lineRule="auto"/>
        <w:jc w:val="left"/>
        <w:rPr>
          <w:rFonts w:ascii="仿宋_GB2312" w:eastAsia="仿宋_GB2312"/>
          <w:color w:val="000000"/>
          <w:spacing w:val="-10"/>
          <w:sz w:val="32"/>
          <w:szCs w:val="32"/>
        </w:rPr>
      </w:pPr>
      <w:r>
        <w:rPr>
          <w:rFonts w:hint="eastAsia" w:ascii="仿宋_GB2312" w:eastAsia="仿宋_GB2312"/>
          <w:color w:val="000000"/>
          <w:sz w:val="32"/>
          <w:szCs w:val="32"/>
        </w:rPr>
        <w:t xml:space="preserve">    2.</w:t>
      </w:r>
      <w:r>
        <w:rPr>
          <w:rFonts w:hint="eastAsia" w:ascii="仿宋_GB2312" w:eastAsia="仿宋_GB2312"/>
          <w:color w:val="000000"/>
          <w:spacing w:val="-10"/>
          <w:sz w:val="32"/>
          <w:szCs w:val="32"/>
        </w:rPr>
        <w:t>申请书要求统一用A4纸双面印制，左侧上下各装一订。</w:t>
      </w:r>
    </w:p>
    <w:p w14:paraId="374E8C8D">
      <w:pPr>
        <w:shd w:val="clear" w:color="auto" w:fill="FFFFFF"/>
        <w:spacing w:line="384" w:lineRule="auto"/>
        <w:jc w:val="left"/>
        <w:rPr>
          <w:rFonts w:ascii="仿宋_GB2312" w:eastAsia="仿宋_GB2312"/>
          <w:color w:val="000000"/>
          <w:sz w:val="32"/>
          <w:szCs w:val="32"/>
        </w:rPr>
      </w:pPr>
      <w:r>
        <w:rPr>
          <w:rFonts w:hint="eastAsia" w:ascii="宋体" w:hAnsi="宋体" w:cs="宋体"/>
          <w:color w:val="333333"/>
          <w:kern w:val="0"/>
          <w:szCs w:val="21"/>
        </w:rPr>
        <w:t xml:space="preserve">      </w:t>
      </w:r>
      <w:r>
        <w:rPr>
          <w:rFonts w:hint="eastAsia" w:ascii="仿宋_GB2312" w:eastAsia="仿宋_GB2312"/>
          <w:color w:val="000000"/>
          <w:sz w:val="32"/>
          <w:szCs w:val="32"/>
        </w:rPr>
        <w:t>联系人：高艳蓉，电话：84778417，邮箱：gaoyanrong@bjypc.edu.cn。</w:t>
      </w:r>
    </w:p>
    <w:p w14:paraId="5B72E140">
      <w:pPr>
        <w:spacing w:line="360" w:lineRule="auto"/>
        <w:ind w:firstLine="640" w:firstLineChars="200"/>
        <w:rPr>
          <w:rFonts w:ascii="仿宋_GB2312" w:eastAsia="仿宋_GB2312"/>
          <w:color w:val="000000"/>
          <w:sz w:val="32"/>
          <w:szCs w:val="32"/>
        </w:rPr>
      </w:pPr>
    </w:p>
    <w:p w14:paraId="613840E5">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附件</w:t>
      </w:r>
    </w:p>
    <w:p w14:paraId="461E7991">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1.北京市教育科学规划202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年度课题指南</w:t>
      </w:r>
    </w:p>
    <w:p w14:paraId="1A2A8A7E">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2.北京市教育科学规划课题管理办法</w:t>
      </w:r>
    </w:p>
    <w:p w14:paraId="6D0FBCF1">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3.北京市教育科学规划课题管理细则</w:t>
      </w:r>
    </w:p>
    <w:p w14:paraId="0FD05A19">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4.北京市教育科学规划课题申报流程</w:t>
      </w:r>
    </w:p>
    <w:p w14:paraId="471D1DF7">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5.北京市教育科学“十</w:t>
      </w:r>
      <w:r>
        <w:rPr>
          <w:rFonts w:hint="eastAsia" w:ascii="仿宋_GB2312" w:eastAsia="仿宋_GB2312"/>
          <w:color w:val="000000"/>
          <w:sz w:val="32"/>
          <w:szCs w:val="32"/>
          <w:lang w:val="en-US" w:eastAsia="zh-CN"/>
        </w:rPr>
        <w:t>五</w:t>
      </w:r>
      <w:r>
        <w:rPr>
          <w:rFonts w:hint="eastAsia" w:ascii="仿宋_GB2312" w:eastAsia="仿宋_GB2312"/>
          <w:color w:val="000000"/>
          <w:sz w:val="32"/>
          <w:szCs w:val="32"/>
        </w:rPr>
        <w:t>五”规划202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年度重大课题申请书</w:t>
      </w:r>
    </w:p>
    <w:p w14:paraId="43135F00">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6.其他类别申请书（网上申报，只做申报参考）</w:t>
      </w:r>
    </w:p>
    <w:p w14:paraId="59306DC6">
      <w:pPr>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7.课题申报材料填写注意事项</w:t>
      </w:r>
    </w:p>
    <w:p w14:paraId="31F0188D">
      <w:pPr>
        <w:spacing w:line="360" w:lineRule="auto"/>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.财务账号信息</w:t>
      </w:r>
    </w:p>
    <w:p w14:paraId="62EAA7F8">
      <w:pPr>
        <w:spacing w:line="360" w:lineRule="auto"/>
        <w:ind w:firstLine="5120" w:firstLineChars="1600"/>
        <w:rPr>
          <w:rFonts w:ascii="仿宋_GB2312" w:eastAsia="仿宋_GB2312"/>
          <w:color w:val="000000"/>
          <w:sz w:val="32"/>
          <w:szCs w:val="32"/>
        </w:rPr>
      </w:pPr>
    </w:p>
    <w:p w14:paraId="5F3AD19F">
      <w:pPr>
        <w:spacing w:line="360" w:lineRule="auto"/>
        <w:ind w:firstLine="5120" w:firstLineChars="1600"/>
        <w:rPr>
          <w:rFonts w:ascii="仿宋_GB2312" w:eastAsia="仿宋_GB2312"/>
          <w:color w:val="000000"/>
          <w:sz w:val="32"/>
          <w:szCs w:val="32"/>
        </w:rPr>
      </w:pPr>
      <w:r>
        <w:rPr>
          <w:rFonts w:hint="eastAsia" w:ascii="仿宋_GB2312" w:eastAsia="仿宋_GB2312"/>
          <w:color w:val="000000"/>
          <w:sz w:val="32"/>
          <w:szCs w:val="32"/>
        </w:rPr>
        <w:t>科研处</w:t>
      </w:r>
    </w:p>
    <w:tbl>
      <w:tblPr>
        <w:tblStyle w:val="6"/>
        <w:tblpPr w:leftFromText="180" w:rightFromText="180" w:vertAnchor="text" w:horzAnchor="page" w:tblpX="1713" w:tblpY="5552"/>
        <w:tblW w:w="4926" w:type="pct"/>
        <w:tblInd w:w="0" w:type="dxa"/>
        <w:tblLayout w:type="autofit"/>
        <w:tblCellMar>
          <w:top w:w="0" w:type="dxa"/>
          <w:left w:w="108" w:type="dxa"/>
          <w:bottom w:w="0" w:type="dxa"/>
          <w:right w:w="108" w:type="dxa"/>
        </w:tblCellMar>
      </w:tblPr>
      <w:tblGrid>
        <w:gridCol w:w="8403"/>
      </w:tblGrid>
      <w:tr w14:paraId="6C66498C">
        <w:tblPrEx>
          <w:tblCellMar>
            <w:top w:w="0" w:type="dxa"/>
            <w:left w:w="108" w:type="dxa"/>
            <w:bottom w:w="0" w:type="dxa"/>
            <w:right w:w="108" w:type="dxa"/>
          </w:tblCellMar>
        </w:tblPrEx>
        <w:trPr>
          <w:cantSplit/>
          <w:trHeight w:val="606" w:hRule="atLeast"/>
        </w:trPr>
        <w:tc>
          <w:tcPr>
            <w:tcW w:w="5000" w:type="pct"/>
            <w:tcBorders>
              <w:top w:val="single" w:color="auto" w:sz="4" w:space="0"/>
              <w:left w:val="nil"/>
              <w:bottom w:val="single" w:color="auto" w:sz="4" w:space="0"/>
              <w:right w:val="nil"/>
            </w:tcBorders>
            <w:vAlign w:val="center"/>
          </w:tcPr>
          <w:p w14:paraId="6D2201C0">
            <w:pPr>
              <w:spacing w:line="360" w:lineRule="auto"/>
              <w:rPr>
                <w:rFonts w:ascii="仿宋_GB2312" w:eastAsia="仿宋_GB2312"/>
                <w:color w:val="000000"/>
                <w:sz w:val="32"/>
                <w:szCs w:val="32"/>
              </w:rPr>
            </w:pPr>
            <w:r>
              <w:rPr>
                <w:rFonts w:hint="eastAsia" w:ascii="仿宋_GB2312" w:eastAsia="仿宋_GB2312"/>
                <w:color w:val="000000"/>
                <w:sz w:val="32"/>
                <w:szCs w:val="32"/>
              </w:rPr>
              <w:t>北京青年政治学院科研处        202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年</w:t>
            </w:r>
            <w:r>
              <w:rPr>
                <w:rFonts w:ascii="仿宋_GB2312" w:eastAsia="仿宋_GB2312"/>
                <w:color w:val="000000"/>
                <w:sz w:val="32"/>
                <w:szCs w:val="32"/>
              </w:rPr>
              <w:t>3</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日印发</w:t>
            </w:r>
          </w:p>
        </w:tc>
      </w:tr>
    </w:tbl>
    <w:p w14:paraId="64FF6C26">
      <w:pPr>
        <w:spacing w:line="360" w:lineRule="auto"/>
        <w:ind w:firstLine="4480" w:firstLineChars="1400"/>
        <w:rPr>
          <w:rFonts w:ascii="仿宋_GB2312" w:eastAsia="仿宋_GB2312"/>
          <w:color w:val="000000"/>
          <w:sz w:val="32"/>
          <w:szCs w:val="32"/>
        </w:rPr>
      </w:pPr>
      <w:r>
        <w:rPr>
          <w:rFonts w:hint="eastAsia" w:ascii="仿宋_GB2312" w:eastAsia="仿宋_GB2312"/>
          <w:color w:val="000000"/>
          <w:sz w:val="32"/>
          <w:szCs w:val="32"/>
        </w:rPr>
        <w:t xml:space="preserve"> 202</w:t>
      </w:r>
      <w:r>
        <w:rPr>
          <w:rFonts w:hint="eastAsia" w:ascii="仿宋_GB2312" w:eastAsia="仿宋_GB2312"/>
          <w:color w:val="000000"/>
          <w:sz w:val="32"/>
          <w:szCs w:val="32"/>
          <w:lang w:val="en-US" w:eastAsia="zh-CN"/>
        </w:rPr>
        <w:t>6</w:t>
      </w:r>
      <w:r>
        <w:rPr>
          <w:rFonts w:ascii="仿宋_GB2312" w:eastAsia="仿宋_GB2312"/>
          <w:color w:val="000000"/>
          <w:sz w:val="32"/>
          <w:szCs w:val="32"/>
        </w:rPr>
        <w:t>年3月</w:t>
      </w:r>
      <w:r>
        <w:rPr>
          <w:rFonts w:hint="eastAsia" w:ascii="仿宋_GB2312" w:eastAsia="仿宋_GB2312"/>
          <w:color w:val="000000"/>
          <w:sz w:val="32"/>
          <w:szCs w:val="32"/>
          <w:lang w:val="en-US" w:eastAsia="zh-CN"/>
        </w:rPr>
        <w:t>5</w:t>
      </w:r>
      <w:r>
        <w:rPr>
          <w:rFonts w:ascii="仿宋_GB2312" w:eastAsia="仿宋_GB2312"/>
          <w:color w:val="000000"/>
          <w:sz w:val="32"/>
          <w:szCs w:val="32"/>
        </w:rPr>
        <w:t>日</w:t>
      </w:r>
      <w:r>
        <w:rPr>
          <w:rFonts w:hint="eastAsia" w:ascii="仿宋_GB2312" w:eastAsia="仿宋_GB2312"/>
          <w:color w:val="000000"/>
          <w:sz w:val="32"/>
          <w:szCs w:val="32"/>
        </w:rPr>
        <w:t xml:space="preserve">                </w:t>
      </w:r>
    </w:p>
    <w:sectPr>
      <w:headerReference r:id="rId3" w:type="default"/>
      <w:pgSz w:w="11907" w:h="16840"/>
      <w:pgMar w:top="1474" w:right="1797" w:bottom="147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小标宋简体">
    <w:panose1 w:val="00000600000000000000"/>
    <w:charset w:val="86"/>
    <w:family w:val="auto"/>
    <w:pitch w:val="default"/>
    <w:sig w:usb0="800002BF" w:usb1="184F6CF8" w:usb2="00000012" w:usb3="00000000" w:csb0="00160001" w:csb1="1203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CAFA7">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C08"/>
    <w:rsid w:val="00004C0E"/>
    <w:rsid w:val="00004C3F"/>
    <w:rsid w:val="0000687C"/>
    <w:rsid w:val="00042E58"/>
    <w:rsid w:val="00064AD9"/>
    <w:rsid w:val="000D0FD4"/>
    <w:rsid w:val="001074FE"/>
    <w:rsid w:val="0013711B"/>
    <w:rsid w:val="00181A18"/>
    <w:rsid w:val="001D1125"/>
    <w:rsid w:val="00220C69"/>
    <w:rsid w:val="0023565C"/>
    <w:rsid w:val="002463A4"/>
    <w:rsid w:val="002513FF"/>
    <w:rsid w:val="00253D65"/>
    <w:rsid w:val="00262971"/>
    <w:rsid w:val="0029281C"/>
    <w:rsid w:val="00294F62"/>
    <w:rsid w:val="002A0EF7"/>
    <w:rsid w:val="002C546F"/>
    <w:rsid w:val="00305A05"/>
    <w:rsid w:val="0033364B"/>
    <w:rsid w:val="00383365"/>
    <w:rsid w:val="00394AFF"/>
    <w:rsid w:val="003A7727"/>
    <w:rsid w:val="003F6B31"/>
    <w:rsid w:val="0040602F"/>
    <w:rsid w:val="00432404"/>
    <w:rsid w:val="00470425"/>
    <w:rsid w:val="0049379C"/>
    <w:rsid w:val="004A7833"/>
    <w:rsid w:val="004D737F"/>
    <w:rsid w:val="004E3C08"/>
    <w:rsid w:val="00533938"/>
    <w:rsid w:val="0053485C"/>
    <w:rsid w:val="00547B51"/>
    <w:rsid w:val="00555DC5"/>
    <w:rsid w:val="0057148D"/>
    <w:rsid w:val="00574F0D"/>
    <w:rsid w:val="005B18DC"/>
    <w:rsid w:val="005E442B"/>
    <w:rsid w:val="00617938"/>
    <w:rsid w:val="006238A6"/>
    <w:rsid w:val="00643063"/>
    <w:rsid w:val="0065690A"/>
    <w:rsid w:val="006642AA"/>
    <w:rsid w:val="006734EC"/>
    <w:rsid w:val="006833D5"/>
    <w:rsid w:val="00687ACE"/>
    <w:rsid w:val="006B7F20"/>
    <w:rsid w:val="0073398F"/>
    <w:rsid w:val="00777AFC"/>
    <w:rsid w:val="007871F7"/>
    <w:rsid w:val="007B7C8E"/>
    <w:rsid w:val="008310E8"/>
    <w:rsid w:val="00833A17"/>
    <w:rsid w:val="00870900"/>
    <w:rsid w:val="00897850"/>
    <w:rsid w:val="008B224E"/>
    <w:rsid w:val="00901E67"/>
    <w:rsid w:val="009063B6"/>
    <w:rsid w:val="009238E7"/>
    <w:rsid w:val="009246E0"/>
    <w:rsid w:val="0093164F"/>
    <w:rsid w:val="0097084F"/>
    <w:rsid w:val="009B41F1"/>
    <w:rsid w:val="009C0C3F"/>
    <w:rsid w:val="009C347E"/>
    <w:rsid w:val="009C3E35"/>
    <w:rsid w:val="009D37BC"/>
    <w:rsid w:val="009E2364"/>
    <w:rsid w:val="00A22CCF"/>
    <w:rsid w:val="00A22F92"/>
    <w:rsid w:val="00A3679B"/>
    <w:rsid w:val="00AD41DB"/>
    <w:rsid w:val="00AE0E00"/>
    <w:rsid w:val="00AF3EC7"/>
    <w:rsid w:val="00AF7B3C"/>
    <w:rsid w:val="00B27917"/>
    <w:rsid w:val="00B40041"/>
    <w:rsid w:val="00B43E2B"/>
    <w:rsid w:val="00B773E6"/>
    <w:rsid w:val="00B97C94"/>
    <w:rsid w:val="00BD747C"/>
    <w:rsid w:val="00BE665B"/>
    <w:rsid w:val="00C0648C"/>
    <w:rsid w:val="00C34510"/>
    <w:rsid w:val="00C535E4"/>
    <w:rsid w:val="00D00E03"/>
    <w:rsid w:val="00D7366D"/>
    <w:rsid w:val="00D75CAF"/>
    <w:rsid w:val="00D76664"/>
    <w:rsid w:val="00DB1E0F"/>
    <w:rsid w:val="00DC0531"/>
    <w:rsid w:val="00DC1817"/>
    <w:rsid w:val="00DC2BDB"/>
    <w:rsid w:val="00DC348F"/>
    <w:rsid w:val="00DD661B"/>
    <w:rsid w:val="00E007CA"/>
    <w:rsid w:val="00E03CAD"/>
    <w:rsid w:val="00E54DC4"/>
    <w:rsid w:val="00EA5716"/>
    <w:rsid w:val="00EC2323"/>
    <w:rsid w:val="00EE7259"/>
    <w:rsid w:val="00F52C57"/>
    <w:rsid w:val="00F67652"/>
    <w:rsid w:val="00FB02D1"/>
    <w:rsid w:val="00FB1ED1"/>
    <w:rsid w:val="00FC04BC"/>
    <w:rsid w:val="00FD57F9"/>
    <w:rsid w:val="1D4249F3"/>
    <w:rsid w:val="200C447E"/>
    <w:rsid w:val="28C549B0"/>
    <w:rsid w:val="301E6610"/>
    <w:rsid w:val="3056276C"/>
    <w:rsid w:val="372C354B"/>
    <w:rsid w:val="43F12727"/>
    <w:rsid w:val="48A57EC2"/>
    <w:rsid w:val="4D2964AB"/>
    <w:rsid w:val="55F51E8F"/>
    <w:rsid w:val="59CF46C9"/>
    <w:rsid w:val="71765642"/>
    <w:rsid w:val="75BA6CA7"/>
    <w:rsid w:val="7F7D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Hyperlink"/>
    <w:qFormat/>
    <w:uiPriority w:val="0"/>
    <w:rPr>
      <w:color w:val="0066CC"/>
      <w:u w:val="none"/>
    </w:rPr>
  </w:style>
  <w:style w:type="paragraph" w:customStyle="1" w:styleId="9">
    <w:name w:val="Char1"/>
    <w:basedOn w:val="1"/>
    <w:semiHidden/>
    <w:qFormat/>
    <w:uiPriority w:val="0"/>
    <w:pPr>
      <w:widowControl/>
      <w:spacing w:after="160" w:line="240" w:lineRule="exact"/>
      <w:jc w:val="left"/>
    </w:pPr>
    <w:rPr>
      <w:rFonts w:ascii="Verdana" w:hAnsi="Verdana" w:cs="Verdana"/>
      <w:kern w:val="0"/>
      <w:sz w:val="20"/>
      <w:szCs w:val="20"/>
      <w:lang w:eastAsia="en-US"/>
    </w:rPr>
  </w:style>
  <w:style w:type="character" w:customStyle="1" w:styleId="10">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2576</Words>
  <Characters>2769</Characters>
  <Lines>21</Lines>
  <Paragraphs>6</Paragraphs>
  <TotalTime>4</TotalTime>
  <ScaleCrop>false</ScaleCrop>
  <LinksUpToDate>false</LinksUpToDate>
  <CharactersWithSpaces>2835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2011-05-04T06:11:00Z</dcterms:created>
  <dc:creator>***</dc:creator>
  <cp:lastModifiedBy>北京青年政治学院</cp:lastModifiedBy>
  <dcterms:modified xsi:type="dcterms:W3CDTF">2026-03-05T08:54:29Z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eyJoZGlkIjoiOTBhMjY3NTg2NzU3M2EyMGI5ZjViODc3ZDcxOTUxMmEifQ==</vt:lpwstr>
  </property>
  <property fmtid="{D5CDD505-2E9C-101B-9397-08002B2CF9AE}" pid="4" name="ICV">
    <vt:lpwstr>53BD0FAA7514436AAC6DC01F5460623B_12</vt:lpwstr>
  </property>
</Properties>
</file>