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236" w:type="pct"/>
        <w:jc w:val="center"/>
        <w:tblLayout w:type="autofit"/>
        <w:tblCellMar>
          <w:top w:w="0" w:type="dxa"/>
          <w:left w:w="108" w:type="dxa"/>
          <w:bottom w:w="0" w:type="dxa"/>
          <w:right w:w="108" w:type="dxa"/>
        </w:tblCellMar>
      </w:tblPr>
      <w:tblGrid>
        <w:gridCol w:w="9134"/>
      </w:tblGrid>
      <w:tr w14:paraId="0D7173B4">
        <w:tblPrEx>
          <w:tblCellMar>
            <w:top w:w="0" w:type="dxa"/>
            <w:left w:w="108" w:type="dxa"/>
            <w:bottom w:w="0" w:type="dxa"/>
            <w:right w:w="108" w:type="dxa"/>
          </w:tblCellMar>
        </w:tblPrEx>
        <w:trPr>
          <w:trHeight w:val="1095" w:hRule="atLeast"/>
          <w:jc w:val="center"/>
        </w:trPr>
        <w:tc>
          <w:tcPr>
            <w:tcW w:w="5000" w:type="pct"/>
            <w:vAlign w:val="center"/>
          </w:tcPr>
          <w:p w14:paraId="1226DC2D">
            <w:pPr>
              <w:spacing w:line="540" w:lineRule="exact"/>
              <w:jc w:val="center"/>
              <w:rPr>
                <w:rFonts w:ascii="方正小标宋简体" w:hAnsi="宋体" w:eastAsia="方正小标宋简体"/>
                <w:color w:val="FF0000"/>
                <w:spacing w:val="-24"/>
              </w:rPr>
            </w:pPr>
            <w:r>
              <w:rPr>
                <w:rFonts w:hint="eastAsia" w:ascii="方正小标宋简体" w:hAnsi="宋体" w:eastAsia="方正小标宋简体"/>
                <w:color w:val="FF0000"/>
                <w:spacing w:val="-24"/>
              </w:rPr>
              <w:t xml:space="preserve"> </w:t>
            </w:r>
          </w:p>
        </w:tc>
      </w:tr>
      <w:tr w14:paraId="5EC1D9B3">
        <w:tblPrEx>
          <w:tblCellMar>
            <w:top w:w="0" w:type="dxa"/>
            <w:left w:w="108" w:type="dxa"/>
            <w:bottom w:w="0" w:type="dxa"/>
            <w:right w:w="108" w:type="dxa"/>
          </w:tblCellMar>
        </w:tblPrEx>
        <w:trPr>
          <w:trHeight w:val="1957" w:hRule="atLeast"/>
          <w:jc w:val="center"/>
        </w:trPr>
        <w:tc>
          <w:tcPr>
            <w:tcW w:w="5000" w:type="pct"/>
            <w:vAlign w:val="center"/>
          </w:tcPr>
          <w:p w14:paraId="5D057FCF">
            <w:pPr>
              <w:jc w:val="center"/>
              <w:rPr>
                <w:rFonts w:ascii="方正小标宋简体" w:hAnsi="宋体" w:eastAsia="方正小标宋简体"/>
                <w:color w:val="FF0000"/>
                <w:w w:val="75"/>
                <w:sz w:val="56"/>
                <w:szCs w:val="60"/>
              </w:rPr>
            </w:pPr>
            <w:r>
              <w:rPr>
                <w:rFonts w:hint="eastAsia" w:ascii="方正小标宋简体" w:hAnsi="宋体" w:eastAsia="方正小标宋简体"/>
                <w:bCs/>
                <w:color w:val="FF0000"/>
                <w:spacing w:val="7"/>
                <w:kern w:val="0"/>
                <w:sz w:val="58"/>
                <w:szCs w:val="62"/>
                <w:fitText w:val="8918" w:id="647847469"/>
              </w:rPr>
              <w:t>北京青年政治学院学生工作处文</w:t>
            </w:r>
            <w:r>
              <w:rPr>
                <w:rFonts w:hint="eastAsia" w:ascii="方正小标宋简体" w:hAnsi="宋体" w:eastAsia="方正小标宋简体"/>
                <w:bCs/>
                <w:color w:val="FF0000"/>
                <w:spacing w:val="11"/>
                <w:kern w:val="0"/>
                <w:sz w:val="58"/>
                <w:szCs w:val="62"/>
                <w:fitText w:val="8918" w:id="647847469"/>
              </w:rPr>
              <w:t>件</w:t>
            </w:r>
          </w:p>
        </w:tc>
      </w:tr>
      <w:tr w14:paraId="43C86349">
        <w:tblPrEx>
          <w:tblCellMar>
            <w:top w:w="0" w:type="dxa"/>
            <w:left w:w="108" w:type="dxa"/>
            <w:bottom w:w="0" w:type="dxa"/>
            <w:right w:w="108" w:type="dxa"/>
          </w:tblCellMar>
        </w:tblPrEx>
        <w:trPr>
          <w:trHeight w:val="638" w:hRule="atLeast"/>
          <w:jc w:val="center"/>
        </w:trPr>
        <w:tc>
          <w:tcPr>
            <w:tcW w:w="5000" w:type="pct"/>
            <w:vAlign w:val="center"/>
          </w:tcPr>
          <w:p w14:paraId="1F61EA65">
            <w:pPr>
              <w:spacing w:line="540" w:lineRule="exact"/>
              <w:jc w:val="center"/>
              <w:rPr>
                <w:rFonts w:ascii="仿宋_GB2312" w:hAnsi="宋体" w:eastAsia="仿宋_GB2312"/>
                <w:sz w:val="32"/>
                <w:szCs w:val="32"/>
              </w:rPr>
            </w:pPr>
          </w:p>
        </w:tc>
      </w:tr>
      <w:tr w14:paraId="06005B05">
        <w:tblPrEx>
          <w:tblCellMar>
            <w:top w:w="0" w:type="dxa"/>
            <w:left w:w="108" w:type="dxa"/>
            <w:bottom w:w="0" w:type="dxa"/>
            <w:right w:w="108" w:type="dxa"/>
          </w:tblCellMar>
        </w:tblPrEx>
        <w:trPr>
          <w:trHeight w:val="623" w:hRule="atLeast"/>
          <w:jc w:val="center"/>
        </w:trPr>
        <w:tc>
          <w:tcPr>
            <w:tcW w:w="5000" w:type="pct"/>
            <w:vAlign w:val="center"/>
          </w:tcPr>
          <w:p w14:paraId="620B2CA0">
            <w:pPr>
              <w:spacing w:line="540" w:lineRule="exact"/>
              <w:jc w:val="center"/>
              <w:rPr>
                <w:rFonts w:ascii="仿宋_GB2312" w:eastAsia="仿宋_GB2312"/>
                <w:sz w:val="32"/>
                <w:szCs w:val="32"/>
              </w:rPr>
            </w:pPr>
            <w:r>
              <w:rPr>
                <w:rFonts w:ascii="Calibri" w:hAnsi="Calibri"/>
              </w:rPr>
              <mc:AlternateContent>
                <mc:Choice Requires="wps">
                  <w:drawing>
                    <wp:anchor distT="0" distB="0" distL="114300" distR="114300" simplePos="0" relativeHeight="251659264" behindDoc="1" locked="0" layoutInCell="1" allowOverlap="1">
                      <wp:simplePos x="0" y="0"/>
                      <wp:positionH relativeFrom="column">
                        <wp:posOffset>-80645</wp:posOffset>
                      </wp:positionH>
                      <wp:positionV relativeFrom="paragraph">
                        <wp:posOffset>195580</wp:posOffset>
                      </wp:positionV>
                      <wp:extent cx="5944235" cy="685800"/>
                      <wp:effectExtent l="0" t="0" r="18415" b="0"/>
                      <wp:wrapNone/>
                      <wp:docPr id="2" name="文本框 2"/>
                      <wp:cNvGraphicFramePr/>
                      <a:graphic xmlns:a="http://schemas.openxmlformats.org/drawingml/2006/main">
                        <a:graphicData uri="http://schemas.microsoft.com/office/word/2010/wordprocessingShape">
                          <wps:wsp>
                            <wps:cNvSpPr txBox="1"/>
                            <wps:spPr>
                              <a:xfrm>
                                <a:off x="0" y="0"/>
                                <a:ext cx="5944235" cy="685800"/>
                              </a:xfrm>
                              <a:prstGeom prst="rect">
                                <a:avLst/>
                              </a:prstGeom>
                              <a:solidFill>
                                <a:srgbClr val="FFFFFF"/>
                              </a:solidFill>
                              <a:ln>
                                <a:noFill/>
                              </a:ln>
                            </wps:spPr>
                            <wps:txbx>
                              <w:txbxContent>
                                <w:p w14:paraId="5637265B">
                                  <w:pPr>
                                    <w:tabs>
                                      <w:tab w:val="left" w:pos="8647"/>
                                      <w:tab w:val="left" w:pos="8789"/>
                                      <w:tab w:val="left" w:pos="8931"/>
                                    </w:tabs>
                                  </w:pPr>
                                  <w:r>
                                    <w:rPr>
                                      <w:rFonts w:hint="eastAsia" w:ascii="华文中宋" w:hAnsi="华文中宋" w:eastAsia="华文中宋"/>
                                      <w:color w:val="FF0000"/>
                                      <w:sz w:val="44"/>
                                      <w:szCs w:val="44"/>
                                    </w:rPr>
                                    <w:t>————————— ★ —————————</w:t>
                                  </w:r>
                                </w:p>
                              </w:txbxContent>
                            </wps:txbx>
                            <wps:bodyPr upright="1"/>
                          </wps:wsp>
                        </a:graphicData>
                      </a:graphic>
                    </wp:anchor>
                  </w:drawing>
                </mc:Choice>
                <mc:Fallback>
                  <w:pict>
                    <v:shape id="_x0000_s1026" o:spid="_x0000_s1026" o:spt="202" type="#_x0000_t202" style="position:absolute;left:0pt;margin-left:-6.35pt;margin-top:15.4pt;height:54pt;width:468.05pt;z-index:-251657216;mso-width-relative:page;mso-height-relative:page;" fillcolor="#FFFFFF" filled="t" stroked="f" coordsize="21600,21600" o:gfxdata="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0Qy17YAAAACgEAAA8AAAAAAAAAAQAgAAAAIgAAAGRycy9kb3ducmV2&#10;LnhtbFBLAQIUABQAAAAIAIdO4kBi6mFrwwEAAHcDAAAOAAAAAAAAAAEAIAAAACcBAABkcnMvZTJv&#10;RG9jLnhtbFBLBQYAAAAABgAGAFkBAABcBQAAAAA=&#10;">
                      <v:fill on="t" focussize="0,0"/>
                      <v:stroke on="f"/>
                      <v:imagedata o:title=""/>
                      <o:lock v:ext="edit" aspectratio="f"/>
                      <v:textbox>
                        <w:txbxContent>
                          <w:p w14:paraId="5637265B">
                            <w:pPr>
                              <w:tabs>
                                <w:tab w:val="left" w:pos="8647"/>
                                <w:tab w:val="left" w:pos="8789"/>
                                <w:tab w:val="left" w:pos="8931"/>
                              </w:tabs>
                            </w:pPr>
                            <w:r>
                              <w:rPr>
                                <w:rFonts w:hint="eastAsia" w:ascii="华文中宋" w:hAnsi="华文中宋" w:eastAsia="华文中宋"/>
                                <w:color w:val="FF0000"/>
                                <w:sz w:val="44"/>
                                <w:szCs w:val="44"/>
                              </w:rPr>
                              <w:t>————————— ★ —————————</w:t>
                            </w:r>
                          </w:p>
                        </w:txbxContent>
                      </v:textbox>
                    </v:shape>
                  </w:pict>
                </mc:Fallback>
              </mc:AlternateContent>
            </w:r>
            <w:r>
              <w:rPr>
                <w:rFonts w:hint="eastAsia" w:ascii="仿宋_GB2312" w:hAnsi="宋体" w:eastAsia="仿宋_GB2312"/>
                <w:sz w:val="32"/>
                <w:szCs w:val="32"/>
              </w:rPr>
              <w:t>院</w:t>
            </w:r>
            <w:r>
              <w:rPr>
                <w:rFonts w:hint="eastAsia" w:ascii="仿宋_GB2312" w:eastAsia="仿宋_GB2312"/>
                <w:sz w:val="32"/>
                <w:szCs w:val="32"/>
              </w:rPr>
              <w:t>学</w:t>
            </w:r>
            <w:r>
              <w:rPr>
                <w:rFonts w:hint="eastAsia" w:ascii="仿宋_GB2312" w:hAnsi="宋体" w:eastAsia="仿宋_GB2312"/>
                <w:sz w:val="32"/>
                <w:szCs w:val="32"/>
              </w:rPr>
              <w:t>发〔</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sz w:val="32"/>
                <w:szCs w:val="32"/>
                <w:lang w:val="en-US" w:eastAsia="zh-CN"/>
              </w:rPr>
              <w:t>21</w:t>
            </w:r>
            <w:bookmarkStart w:id="0" w:name="_GoBack"/>
            <w:bookmarkEnd w:id="0"/>
            <w:r>
              <w:rPr>
                <w:rFonts w:hint="eastAsia" w:ascii="仿宋_GB2312" w:eastAsia="仿宋_GB2312"/>
                <w:sz w:val="32"/>
                <w:szCs w:val="32"/>
              </w:rPr>
              <w:t>号</w:t>
            </w:r>
          </w:p>
        </w:tc>
      </w:tr>
    </w:tbl>
    <w:p w14:paraId="0DCE3950">
      <w:pPr>
        <w:topLinePunct/>
        <w:adjustRightInd w:val="0"/>
        <w:snapToGrid w:val="0"/>
        <w:jc w:val="center"/>
        <w:rPr>
          <w:rFonts w:ascii="黑体" w:hAnsi="宋体" w:eastAsia="黑体" w:cs="宋体"/>
          <w:kern w:val="0"/>
          <w:sz w:val="44"/>
          <w:szCs w:val="44"/>
          <w:lang w:val="zh-TW" w:eastAsia="zh-TW" w:bidi="ar"/>
        </w:rPr>
      </w:pPr>
    </w:p>
    <w:p w14:paraId="17BD4BFE">
      <w:pPr>
        <w:topLinePunct/>
        <w:adjustRightInd w:val="0"/>
        <w:snapToGrid w:val="0"/>
        <w:jc w:val="center"/>
        <w:rPr>
          <w:rFonts w:ascii="黑体" w:hAnsi="宋体" w:eastAsia="黑体" w:cs="宋体"/>
          <w:kern w:val="0"/>
          <w:sz w:val="13"/>
          <w:szCs w:val="13"/>
          <w:lang w:val="zh-TW" w:eastAsia="zh-TW" w:bidi="ar"/>
        </w:rPr>
      </w:pPr>
    </w:p>
    <w:p w14:paraId="567AB1F0">
      <w:pPr>
        <w:snapToGrid w:val="0"/>
        <w:jc w:val="center"/>
        <w:rPr>
          <w:rFonts w:ascii="方正小标宋简体" w:eastAsia="方正小标宋简体"/>
          <w:sz w:val="44"/>
          <w:szCs w:val="44"/>
        </w:rPr>
      </w:pPr>
      <w:r>
        <w:rPr>
          <w:rFonts w:hint="eastAsia" w:ascii="方正小标宋简体" w:eastAsia="方正小标宋简体"/>
          <w:sz w:val="44"/>
          <w:szCs w:val="44"/>
        </w:rPr>
        <w:t>关于开展北京青年政治学院202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学年</w:t>
      </w:r>
    </w:p>
    <w:p w14:paraId="5B6E5436">
      <w:pPr>
        <w:snapToGrid w:val="0"/>
        <w:jc w:val="center"/>
        <w:rPr>
          <w:rFonts w:ascii="方正小标宋简体" w:eastAsia="方正小标宋简体"/>
          <w:sz w:val="44"/>
          <w:szCs w:val="44"/>
        </w:rPr>
      </w:pPr>
      <w:r>
        <w:rPr>
          <w:rFonts w:hint="eastAsia" w:ascii="方正小标宋简体" w:eastAsia="方正小标宋简体"/>
          <w:sz w:val="44"/>
          <w:szCs w:val="44"/>
        </w:rPr>
        <w:t>国家励志奖学金评审工作的通知</w:t>
      </w:r>
    </w:p>
    <w:p w14:paraId="5966EB8D">
      <w:pPr>
        <w:jc w:val="center"/>
        <w:rPr>
          <w:rFonts w:ascii="方正小标宋简体" w:eastAsia="方正小标宋简体"/>
          <w:sz w:val="44"/>
          <w:szCs w:val="44"/>
        </w:rPr>
      </w:pPr>
      <w:r>
        <w:rPr>
          <w:rFonts w:hint="eastAsia" w:ascii="方正小标宋简体" w:eastAsia="方正小标宋简体"/>
          <w:sz w:val="44"/>
          <w:szCs w:val="44"/>
        </w:rPr>
        <w:t xml:space="preserve"> </w:t>
      </w:r>
    </w:p>
    <w:p w14:paraId="37C11809">
      <w:pPr>
        <w:rPr>
          <w:rFonts w:ascii="仿宋_GB2312" w:hAnsi="宋体" w:eastAsia="仿宋_GB2312"/>
          <w:sz w:val="32"/>
          <w:szCs w:val="32"/>
        </w:rPr>
      </w:pPr>
      <w:r>
        <w:rPr>
          <w:rFonts w:hint="eastAsia" w:ascii="仿宋_GB2312" w:hAnsi="宋体" w:eastAsia="仿宋_GB2312"/>
          <w:sz w:val="32"/>
          <w:szCs w:val="32"/>
        </w:rPr>
        <w:t>各二级学院：</w:t>
      </w:r>
    </w:p>
    <w:p w14:paraId="66B5DF90">
      <w:pPr>
        <w:ind w:firstLine="640" w:firstLineChars="200"/>
        <w:rPr>
          <w:rFonts w:ascii="仿宋" w:hAnsi="仿宋" w:eastAsia="仿宋"/>
          <w:sz w:val="32"/>
          <w:szCs w:val="32"/>
        </w:rPr>
      </w:pPr>
      <w:r>
        <w:rPr>
          <w:rFonts w:hint="eastAsia" w:ascii="仿宋_GB2312" w:hAnsi="宋体" w:eastAsia="仿宋_GB2312"/>
          <w:sz w:val="32"/>
          <w:szCs w:val="32"/>
        </w:rPr>
        <w:t>根据《北京青年政治学院本专科生国家奖学金、国家励志奖学金、国家助学金评审管理办法》（院发〔20</w:t>
      </w:r>
      <w:r>
        <w:rPr>
          <w:rFonts w:hint="eastAsia" w:ascii="仿宋_GB2312" w:hAnsi="宋体" w:eastAsia="仿宋_GB2312"/>
          <w:sz w:val="32"/>
          <w:szCs w:val="32"/>
          <w:lang w:val="en-US" w:eastAsia="zh-CN"/>
        </w:rPr>
        <w:t>25</w:t>
      </w:r>
      <w:r>
        <w:rPr>
          <w:rFonts w:hint="eastAsia" w:ascii="仿宋_GB2312" w:hAnsi="宋体" w:eastAsia="仿宋_GB2312"/>
          <w:sz w:val="32"/>
          <w:szCs w:val="32"/>
        </w:rPr>
        <w:t>〕</w:t>
      </w:r>
      <w:r>
        <w:rPr>
          <w:rFonts w:hint="eastAsia" w:ascii="仿宋_GB2312" w:hAnsi="宋体" w:eastAsia="仿宋_GB2312"/>
          <w:sz w:val="32"/>
          <w:szCs w:val="32"/>
          <w:lang w:val="en-US" w:eastAsia="zh-CN"/>
        </w:rPr>
        <w:t>6</w:t>
      </w:r>
      <w:r>
        <w:rPr>
          <w:rFonts w:hint="eastAsia" w:ascii="仿宋_GB2312" w:hAnsi="宋体" w:eastAsia="仿宋_GB2312"/>
          <w:sz w:val="32"/>
          <w:szCs w:val="32"/>
        </w:rPr>
        <w:t>号）文件精神，结合我院实际，现将有关工作要求通知如下：</w:t>
      </w:r>
    </w:p>
    <w:p w14:paraId="1F9EFA9C">
      <w:pPr>
        <w:spacing w:line="560" w:lineRule="exact"/>
        <w:ind w:firstLine="640" w:firstLineChars="200"/>
        <w:rPr>
          <w:rFonts w:ascii="黑体" w:hAnsi="黑体" w:eastAsia="黑体"/>
          <w:sz w:val="32"/>
          <w:szCs w:val="32"/>
        </w:rPr>
      </w:pPr>
      <w:r>
        <w:rPr>
          <w:rFonts w:hint="eastAsia" w:ascii="黑体" w:hAnsi="黑体" w:eastAsia="黑体"/>
          <w:sz w:val="32"/>
          <w:szCs w:val="32"/>
        </w:rPr>
        <w:t>一、评审原则</w:t>
      </w:r>
    </w:p>
    <w:p w14:paraId="0BB2A8A8">
      <w:pPr>
        <w:ind w:firstLine="640" w:firstLineChars="200"/>
        <w:rPr>
          <w:rFonts w:ascii="仿宋_GB2312" w:hAnsi="宋体" w:eastAsia="仿宋_GB2312"/>
          <w:sz w:val="32"/>
          <w:szCs w:val="32"/>
        </w:rPr>
      </w:pPr>
      <w:r>
        <w:rPr>
          <w:rFonts w:hint="eastAsia" w:ascii="仿宋" w:hAnsi="仿宋" w:eastAsia="仿宋"/>
          <w:sz w:val="32"/>
          <w:szCs w:val="32"/>
        </w:rPr>
        <w:t>（</w:t>
      </w:r>
      <w:r>
        <w:rPr>
          <w:rFonts w:hint="eastAsia" w:ascii="仿宋_GB2312" w:hAnsi="宋体" w:eastAsia="仿宋_GB2312"/>
          <w:sz w:val="32"/>
          <w:szCs w:val="32"/>
        </w:rPr>
        <w:t>一）国家励志奖学金的评审坚持公开、公平、公正的原则。</w:t>
      </w:r>
    </w:p>
    <w:p w14:paraId="782E389B">
      <w:pPr>
        <w:ind w:firstLine="640" w:firstLineChars="200"/>
        <w:rPr>
          <w:rFonts w:ascii="仿宋_GB2312" w:hAnsi="宋体" w:eastAsia="仿宋_GB2312"/>
          <w:sz w:val="32"/>
          <w:szCs w:val="32"/>
        </w:rPr>
      </w:pPr>
      <w:r>
        <w:rPr>
          <w:rFonts w:hint="eastAsia" w:ascii="仿宋_GB2312" w:hAnsi="宋体" w:eastAsia="仿宋_GB2312"/>
          <w:sz w:val="32"/>
          <w:szCs w:val="32"/>
        </w:rPr>
        <w:t>（二）坚持实事求是原则，凡在评审中弄虚作假者，一经查实，取消其本年度评审资格并视其情节给予纪律处分。</w:t>
      </w:r>
    </w:p>
    <w:p w14:paraId="732C9F2E">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二、评审名额及要求</w:t>
      </w:r>
    </w:p>
    <w:p w14:paraId="5F239202">
      <w:pPr>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按北京市资助中心下达的年度指标确定我院国家励志奖学金评选名额，具体名额分配见附件1。</w:t>
      </w:r>
    </w:p>
    <w:p w14:paraId="2829C176">
      <w:pPr>
        <w:ind w:firstLine="640" w:firstLineChars="200"/>
        <w:rPr>
          <w:rFonts w:ascii="仿宋_GB2312" w:hAnsi="宋体" w:eastAsia="仿宋_GB2312"/>
          <w:sz w:val="32"/>
          <w:szCs w:val="32"/>
        </w:rPr>
      </w:pPr>
      <w:r>
        <w:rPr>
          <w:rFonts w:ascii="仿宋_GB2312" w:hAnsi="宋体" w:eastAsia="仿宋_GB2312"/>
          <w:sz w:val="32"/>
          <w:szCs w:val="32"/>
        </w:rPr>
        <w:t>同一学年内，获得国家助学金</w:t>
      </w:r>
      <w:r>
        <w:rPr>
          <w:rFonts w:hint="eastAsia" w:ascii="仿宋_GB2312" w:hAnsi="宋体" w:eastAsia="仿宋_GB2312"/>
          <w:sz w:val="32"/>
          <w:szCs w:val="32"/>
        </w:rPr>
        <w:t>的学生可申请</w:t>
      </w:r>
      <w:r>
        <w:rPr>
          <w:rFonts w:ascii="仿宋_GB2312" w:hAnsi="宋体" w:eastAsia="仿宋_GB2312"/>
          <w:sz w:val="32"/>
          <w:szCs w:val="32"/>
        </w:rPr>
        <w:t>国家励志奖学金</w:t>
      </w:r>
      <w:r>
        <w:rPr>
          <w:rFonts w:hint="eastAsia" w:ascii="仿宋_GB2312" w:hAnsi="宋体" w:eastAsia="仿宋_GB2312"/>
          <w:sz w:val="32"/>
          <w:szCs w:val="32"/>
        </w:rPr>
        <w:t>，</w:t>
      </w:r>
      <w:r>
        <w:rPr>
          <w:rFonts w:hint="eastAsia" w:ascii="仿宋_GB2312" w:hAnsi="宋体" w:eastAsia="仿宋_GB2312"/>
          <w:b/>
          <w:bCs/>
          <w:sz w:val="32"/>
          <w:szCs w:val="32"/>
        </w:rPr>
        <w:t>国家励志奖学金、院长奖学金和国家奖学金不能同时</w:t>
      </w:r>
      <w:r>
        <w:rPr>
          <w:rFonts w:hint="eastAsia" w:ascii="仿宋_GB2312" w:hAnsi="宋体" w:eastAsia="仿宋_GB2312"/>
          <w:b/>
          <w:bCs/>
          <w:sz w:val="32"/>
          <w:szCs w:val="32"/>
          <w:highlight w:val="none"/>
        </w:rPr>
        <w:t>兼得</w:t>
      </w:r>
      <w:r>
        <w:rPr>
          <w:rFonts w:hint="eastAsia" w:ascii="仿宋_GB2312" w:hAnsi="宋体" w:eastAsia="仿宋_GB2312"/>
          <w:sz w:val="32"/>
          <w:szCs w:val="32"/>
        </w:rPr>
        <w:t>。</w:t>
      </w:r>
    </w:p>
    <w:p w14:paraId="64EF99F1">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三、评审程序</w:t>
      </w:r>
    </w:p>
    <w:p w14:paraId="56F196BB">
      <w:pPr>
        <w:ind w:firstLine="643" w:firstLineChars="200"/>
        <w:rPr>
          <w:rFonts w:ascii="仿宋_GB2312" w:hAnsi="宋体" w:eastAsia="仿宋_GB2312"/>
          <w:sz w:val="32"/>
          <w:szCs w:val="32"/>
        </w:rPr>
      </w:pPr>
      <w:r>
        <w:rPr>
          <w:rFonts w:hint="eastAsia" w:ascii="仿宋_GB2312" w:hAnsi="宋体" w:eastAsia="仿宋_GB2312"/>
          <w:b/>
          <w:bCs/>
          <w:sz w:val="32"/>
          <w:szCs w:val="32"/>
        </w:rPr>
        <w:t>（一）二级学院初审（10月</w:t>
      </w:r>
      <w:r>
        <w:rPr>
          <w:rFonts w:ascii="仿宋_GB2312" w:hAnsi="宋体" w:eastAsia="仿宋_GB2312"/>
          <w:b/>
          <w:bCs/>
          <w:sz w:val="32"/>
          <w:szCs w:val="32"/>
        </w:rPr>
        <w:t>1</w:t>
      </w:r>
      <w:r>
        <w:rPr>
          <w:rFonts w:hint="eastAsia" w:ascii="仿宋_GB2312" w:hAnsi="宋体" w:eastAsia="仿宋_GB2312"/>
          <w:b/>
          <w:bCs/>
          <w:sz w:val="32"/>
          <w:szCs w:val="32"/>
          <w:lang w:val="en-US" w:eastAsia="zh-CN"/>
        </w:rPr>
        <w:t>7</w:t>
      </w:r>
      <w:r>
        <w:rPr>
          <w:rFonts w:hint="eastAsia" w:ascii="仿宋_GB2312" w:hAnsi="宋体" w:eastAsia="仿宋_GB2312"/>
          <w:b/>
          <w:bCs/>
          <w:sz w:val="32"/>
          <w:szCs w:val="32"/>
        </w:rPr>
        <w:t>日--10月27日）</w:t>
      </w:r>
      <w:r>
        <w:rPr>
          <w:rFonts w:hint="eastAsia" w:ascii="仿宋_GB2312" w:hAnsi="宋体" w:eastAsia="仿宋_GB2312"/>
          <w:sz w:val="32"/>
          <w:szCs w:val="32"/>
        </w:rPr>
        <w:t xml:space="preserve"> </w:t>
      </w:r>
    </w:p>
    <w:p w14:paraId="0D305828">
      <w:pPr>
        <w:ind w:firstLine="640" w:firstLineChars="200"/>
        <w:rPr>
          <w:rFonts w:ascii="仿宋_GB2312" w:hAnsi="宋体" w:eastAsia="仿宋_GB2312"/>
          <w:sz w:val="32"/>
          <w:szCs w:val="32"/>
        </w:rPr>
      </w:pPr>
      <w:r>
        <w:rPr>
          <w:rFonts w:hint="eastAsia" w:ascii="仿宋_GB2312" w:hAnsi="宋体" w:eastAsia="仿宋_GB2312"/>
          <w:sz w:val="32"/>
          <w:szCs w:val="32"/>
        </w:rPr>
        <w:t>1.各二级学院成立资助评审小组，各评审小组要依据《北京青年政治学院本专科生国家奖学金、国家励志奖学金、国家助学金评审管理办法》（院发〔2025〕6号）制定适合本二级学院学生的评审细则。</w:t>
      </w:r>
    </w:p>
    <w:p w14:paraId="12B2B04E">
      <w:pPr>
        <w:ind w:firstLine="640" w:firstLineChars="200"/>
        <w:rPr>
          <w:rFonts w:ascii="仿宋_GB2312" w:hAnsi="宋体" w:eastAsia="仿宋_GB2312"/>
          <w:sz w:val="32"/>
          <w:szCs w:val="32"/>
        </w:rPr>
      </w:pPr>
      <w:r>
        <w:rPr>
          <w:rFonts w:hint="eastAsia" w:ascii="仿宋_GB2312" w:hAnsi="宋体" w:eastAsia="仿宋_GB2312"/>
          <w:sz w:val="32"/>
          <w:szCs w:val="32"/>
        </w:rPr>
        <w:t>2.按照学生本人申请、班级评议、资助评审小组初审的流程，各二级学院推荐国家励志奖学金拟获得者名单。初审通过后，将拟推荐学生名单在本二级学院范围内进行不少于5个工作日的公示。</w:t>
      </w:r>
      <w:r>
        <w:rPr>
          <w:rFonts w:hint="eastAsia" w:ascii="仿宋" w:hAnsi="仿宋" w:eastAsia="仿宋" w:cs="仿宋"/>
          <w:b/>
          <w:bCs/>
          <w:sz w:val="32"/>
          <w:szCs w:val="32"/>
        </w:rPr>
        <w:t>各二级学院拟推荐名单须二级学院党政联席会审议通过，且二级学院学生工作负责人签字并加盖公章有效</w:t>
      </w:r>
      <w:r>
        <w:rPr>
          <w:rFonts w:hint="eastAsia" w:ascii="仿宋_GB2312" w:hAnsi="宋体" w:eastAsia="仿宋_GB2312"/>
          <w:sz w:val="32"/>
          <w:szCs w:val="32"/>
        </w:rPr>
        <w:t>。</w:t>
      </w:r>
    </w:p>
    <w:p w14:paraId="6C225588">
      <w:pPr>
        <w:ind w:firstLine="640" w:firstLineChars="200"/>
        <w:rPr>
          <w:rFonts w:ascii="仿宋_GB2312" w:hAnsi="宋体" w:eastAsia="仿宋_GB2312"/>
          <w:sz w:val="32"/>
          <w:szCs w:val="32"/>
        </w:rPr>
      </w:pPr>
      <w:r>
        <w:rPr>
          <w:rFonts w:hint="eastAsia" w:ascii="仿宋_GB2312" w:hAnsi="宋体" w:eastAsia="仿宋_GB2312"/>
          <w:sz w:val="32"/>
          <w:szCs w:val="32"/>
        </w:rPr>
        <w:t>3.公示无异议后，各二级学院需将国家励志奖学金的拟推荐名单录入</w:t>
      </w:r>
      <w:r>
        <w:rPr>
          <w:rFonts w:hint="eastAsia" w:ascii="仿宋_GB2312" w:hAnsi="宋体" w:eastAsia="仿宋_GB2312"/>
          <w:sz w:val="32"/>
          <w:szCs w:val="32"/>
          <w:highlight w:val="none"/>
        </w:rPr>
        <w:t>“北京市属高校学生资助系统”</w:t>
      </w:r>
      <w:r>
        <w:rPr>
          <w:rFonts w:hint="eastAsia" w:ascii="仿宋_GB2312" w:hAnsi="宋体" w:eastAsia="仿宋_GB2312"/>
          <w:sz w:val="32"/>
          <w:szCs w:val="32"/>
        </w:rPr>
        <w:t>，打印相关表格并报学生处。</w:t>
      </w:r>
    </w:p>
    <w:p w14:paraId="7C384142">
      <w:pPr>
        <w:ind w:firstLine="643" w:firstLineChars="200"/>
        <w:rPr>
          <w:rFonts w:ascii="仿宋_GB2312" w:hAnsi="宋体" w:eastAsia="仿宋_GB2312"/>
          <w:b/>
          <w:bCs/>
          <w:sz w:val="32"/>
          <w:szCs w:val="32"/>
        </w:rPr>
      </w:pPr>
      <w:r>
        <w:rPr>
          <w:rFonts w:hint="eastAsia" w:ascii="仿宋_GB2312" w:hAnsi="宋体" w:eastAsia="仿宋_GB2312"/>
          <w:b/>
          <w:bCs/>
          <w:sz w:val="32"/>
          <w:szCs w:val="32"/>
        </w:rPr>
        <w:t>（二）学院评审及公示（10月28日--11月15日）</w:t>
      </w:r>
    </w:p>
    <w:p w14:paraId="152C6EC0">
      <w:pPr>
        <w:ind w:firstLine="640" w:firstLineChars="200"/>
        <w:rPr>
          <w:rFonts w:ascii="仿宋_GB2312" w:hAnsi="宋体" w:eastAsia="仿宋_GB2312"/>
          <w:sz w:val="32"/>
          <w:szCs w:val="32"/>
        </w:rPr>
      </w:pPr>
      <w:r>
        <w:rPr>
          <w:rFonts w:hint="eastAsia" w:ascii="仿宋_GB2312" w:hAnsi="宋体" w:eastAsia="仿宋_GB2312"/>
          <w:sz w:val="32"/>
          <w:szCs w:val="32"/>
        </w:rPr>
        <w:t>学院评审委员会对各二级学院上报的拟推荐国家励志奖学金名单进行审议，审议通过后报院长办公会审批，审批通过后，在全院范围内进行不少于5个工作日的公示，公示无异议后上报北京市学生资助事务管理中心。</w:t>
      </w:r>
    </w:p>
    <w:p w14:paraId="64A17345">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 三、报送材料</w:t>
      </w:r>
      <w:r>
        <w:rPr>
          <w:rFonts w:hint="eastAsia" w:ascii="仿宋" w:hAnsi="仿宋" w:eastAsia="仿宋"/>
          <w:color w:val="FF0000"/>
          <w:sz w:val="32"/>
          <w:szCs w:val="32"/>
        </w:rPr>
        <w:t xml:space="preserve"> </w:t>
      </w:r>
    </w:p>
    <w:p w14:paraId="20D00EC3">
      <w:pPr>
        <w:spacing w:line="560" w:lineRule="exact"/>
        <w:ind w:firstLine="643" w:firstLineChars="200"/>
        <w:outlineLvl w:val="0"/>
        <w:rPr>
          <w:rFonts w:ascii="仿宋_GB2312" w:hAnsi="宋体" w:eastAsia="仿宋_GB2312"/>
          <w:sz w:val="32"/>
          <w:szCs w:val="32"/>
        </w:rPr>
      </w:pPr>
      <w:r>
        <w:rPr>
          <w:rFonts w:hint="eastAsia" w:ascii="仿宋_GB2312" w:hAnsi="宋体" w:eastAsia="仿宋_GB2312"/>
          <w:b/>
          <w:bCs/>
          <w:sz w:val="32"/>
          <w:szCs w:val="32"/>
        </w:rPr>
        <w:t>国家励志奖学金报送材料包括</w:t>
      </w:r>
      <w:r>
        <w:rPr>
          <w:rFonts w:hint="eastAsia" w:ascii="仿宋_GB2312" w:hAnsi="宋体" w:eastAsia="仿宋_GB2312"/>
          <w:sz w:val="32"/>
          <w:szCs w:val="32"/>
        </w:rPr>
        <w:t>：</w:t>
      </w:r>
    </w:p>
    <w:p w14:paraId="68D30982">
      <w:pPr>
        <w:ind w:firstLine="640" w:firstLineChars="200"/>
        <w:rPr>
          <w:rFonts w:ascii="仿宋_GB2312" w:hAnsi="宋体" w:eastAsia="仿宋_GB2312"/>
          <w:sz w:val="32"/>
          <w:szCs w:val="32"/>
        </w:rPr>
      </w:pPr>
      <w:r>
        <w:rPr>
          <w:rFonts w:hint="eastAsia" w:ascii="仿宋_GB2312" w:hAnsi="宋体" w:eastAsia="仿宋_GB2312"/>
          <w:sz w:val="32"/>
          <w:szCs w:val="32"/>
        </w:rPr>
        <w:t>1.XX学院2024-2025学年国家励志奖学金汇总表（附件2）同时发送电子版</w:t>
      </w:r>
      <w:r>
        <w:rPr>
          <w:rFonts w:hint="eastAsia" w:ascii="仿宋_GB2312" w:hAnsi="宋体" w:eastAsia="仿宋_GB2312"/>
          <w:sz w:val="32"/>
          <w:szCs w:val="32"/>
          <w:highlight w:val="none"/>
        </w:rPr>
        <w:t>至</w:t>
      </w:r>
      <w:r>
        <w:rPr>
          <w:rFonts w:ascii="仿宋_GB2312" w:hAnsi="宋体" w:eastAsia="仿宋_GB2312"/>
          <w:sz w:val="32"/>
          <w:szCs w:val="32"/>
          <w:highlight w:val="none"/>
        </w:rPr>
        <w:t>xsswb@bjypc.edu.cn</w:t>
      </w:r>
      <w:r>
        <w:rPr>
          <w:rFonts w:hint="eastAsia" w:ascii="仿宋_GB2312" w:hAnsi="宋体" w:eastAsia="仿宋_GB2312"/>
          <w:sz w:val="32"/>
          <w:szCs w:val="32"/>
        </w:rPr>
        <w:t>；</w:t>
      </w:r>
    </w:p>
    <w:p w14:paraId="0320A2B0">
      <w:pPr>
        <w:ind w:firstLine="640" w:firstLineChars="200"/>
        <w:rPr>
          <w:rFonts w:ascii="仿宋_GB2312" w:hAnsi="宋体" w:eastAsia="仿宋_GB2312"/>
          <w:sz w:val="32"/>
          <w:szCs w:val="32"/>
        </w:rPr>
      </w:pPr>
      <w:r>
        <w:rPr>
          <w:rFonts w:hint="eastAsia" w:ascii="仿宋_GB2312" w:hAnsi="宋体" w:eastAsia="仿宋_GB2312"/>
          <w:sz w:val="32"/>
          <w:szCs w:val="32"/>
        </w:rPr>
        <w:t>2.《国家励志奖学金申请表》《普通高等学校国家励志奖学金获奖学生初审名单表》（填写系统后打印，各1份）。</w:t>
      </w:r>
    </w:p>
    <w:p w14:paraId="160DE0FA">
      <w:pPr>
        <w:ind w:firstLine="640" w:firstLineChars="200"/>
        <w:rPr>
          <w:rFonts w:ascii="仿宋_GB2312" w:hAnsi="宋体" w:eastAsia="仿宋_GB2312"/>
          <w:sz w:val="32"/>
          <w:szCs w:val="32"/>
        </w:rPr>
      </w:pPr>
      <w:r>
        <w:rPr>
          <w:rFonts w:hint="eastAsia" w:ascii="仿宋_GB2312" w:hAnsi="宋体" w:eastAsia="仿宋_GB2312"/>
          <w:sz w:val="32"/>
          <w:szCs w:val="32"/>
        </w:rPr>
        <w:t>3.励志学生事迹，体裁为记叙文，第一人称撰写，内容真实，感情真挚，突出人物个性和独特经历，字数2000字左右，每个二级学院推荐1名励志奖学金获得者纸质版事迹材料，同时发送电子版（邮件名：XX学院-励志事迹-姓名）至邮箱（xsswb@bjypc.edu.cn ）。</w:t>
      </w:r>
    </w:p>
    <w:p w14:paraId="2D7CA2A7">
      <w:pPr>
        <w:ind w:firstLine="640" w:firstLineChars="200"/>
        <w:rPr>
          <w:rFonts w:ascii="仿宋_GB2312" w:hAnsi="宋体" w:eastAsia="仿宋_GB2312"/>
          <w:sz w:val="32"/>
          <w:szCs w:val="32"/>
        </w:rPr>
      </w:pPr>
    </w:p>
    <w:p w14:paraId="2178A441">
      <w:pPr>
        <w:ind w:firstLine="640" w:firstLineChars="200"/>
        <w:rPr>
          <w:rFonts w:ascii="仿宋_GB2312" w:hAnsi="宋体" w:eastAsia="仿宋_GB2312"/>
          <w:sz w:val="32"/>
          <w:szCs w:val="32"/>
        </w:rPr>
      </w:pPr>
      <w:r>
        <w:rPr>
          <w:rFonts w:hint="eastAsia" w:ascii="仿宋_GB2312" w:hAnsi="宋体" w:eastAsia="仿宋_GB2312"/>
          <w:sz w:val="32"/>
          <w:szCs w:val="32"/>
        </w:rPr>
        <w:t>评审工作办公室设在学生处学生事务管理科（学生资助管理中心）</w:t>
      </w:r>
    </w:p>
    <w:p w14:paraId="2C42254F">
      <w:pPr>
        <w:ind w:firstLine="640" w:firstLineChars="200"/>
        <w:rPr>
          <w:rFonts w:ascii="仿宋_GB2312" w:hAnsi="宋体" w:eastAsia="仿宋_GB2312"/>
          <w:sz w:val="32"/>
          <w:szCs w:val="32"/>
        </w:rPr>
      </w:pPr>
      <w:r>
        <w:rPr>
          <w:rFonts w:hint="eastAsia" w:ascii="仿宋_GB2312" w:hAnsi="宋体" w:eastAsia="仿宋_GB2312"/>
          <w:sz w:val="32"/>
          <w:szCs w:val="32"/>
        </w:rPr>
        <w:t xml:space="preserve">地    址：4号楼307办公室 </w:t>
      </w:r>
    </w:p>
    <w:p w14:paraId="009E1D6C">
      <w:pPr>
        <w:ind w:firstLine="640" w:firstLineChars="200"/>
        <w:rPr>
          <w:rFonts w:ascii="仿宋_GB2312" w:hAnsi="宋体" w:eastAsia="仿宋_GB2312"/>
          <w:sz w:val="32"/>
          <w:szCs w:val="32"/>
        </w:rPr>
      </w:pPr>
      <w:r>
        <w:rPr>
          <w:rFonts w:hint="eastAsia" w:ascii="仿宋_GB2312" w:hAnsi="宋体" w:eastAsia="仿宋_GB2312"/>
          <w:sz w:val="32"/>
          <w:szCs w:val="32"/>
        </w:rPr>
        <w:t>办公电话：84778412</w:t>
      </w:r>
    </w:p>
    <w:p w14:paraId="4CDB63EB">
      <w:pPr>
        <w:ind w:firstLine="640" w:firstLineChars="200"/>
        <w:rPr>
          <w:rFonts w:ascii="仿宋_GB2312" w:hAnsi="宋体" w:eastAsia="仿宋_GB2312"/>
          <w:sz w:val="32"/>
          <w:szCs w:val="32"/>
        </w:rPr>
      </w:pPr>
      <w:r>
        <w:rPr>
          <w:rFonts w:hint="eastAsia" w:ascii="仿宋_GB2312" w:hAnsi="宋体" w:eastAsia="仿宋_GB2312"/>
          <w:sz w:val="32"/>
          <w:szCs w:val="32"/>
        </w:rPr>
        <w:t>联 系 人：王茹楠</w:t>
      </w:r>
    </w:p>
    <w:p w14:paraId="2D6976C5">
      <w:pPr>
        <w:spacing w:line="560" w:lineRule="exact"/>
        <w:ind w:firstLine="640" w:firstLineChars="200"/>
        <w:rPr>
          <w:rFonts w:ascii="仿宋" w:hAnsi="仿宋" w:eastAsia="仿宋"/>
          <w:sz w:val="32"/>
          <w:szCs w:val="28"/>
        </w:rPr>
      </w:pPr>
      <w:r>
        <w:rPr>
          <w:rFonts w:hint="eastAsia" w:ascii="仿宋" w:hAnsi="仿宋" w:eastAsia="仿宋"/>
          <w:sz w:val="32"/>
          <w:szCs w:val="28"/>
        </w:rPr>
        <w:t xml:space="preserve">                                  </w:t>
      </w:r>
    </w:p>
    <w:p w14:paraId="432EC098">
      <w:pPr>
        <w:ind w:firstLine="640" w:firstLineChars="200"/>
        <w:rPr>
          <w:rFonts w:ascii="仿宋" w:hAnsi="仿宋" w:eastAsia="仿宋"/>
          <w:sz w:val="32"/>
          <w:szCs w:val="28"/>
        </w:rPr>
      </w:pPr>
    </w:p>
    <w:p w14:paraId="5CA333FF">
      <w:pPr>
        <w:ind w:firstLine="640" w:firstLineChars="200"/>
        <w:rPr>
          <w:rFonts w:hint="eastAsia" w:ascii="仿宋" w:hAnsi="仿宋" w:eastAsia="仿宋"/>
          <w:sz w:val="32"/>
          <w:szCs w:val="28"/>
        </w:rPr>
      </w:pPr>
      <w:r>
        <w:rPr>
          <w:rFonts w:hint="eastAsia" w:ascii="仿宋" w:hAnsi="仿宋" w:eastAsia="仿宋"/>
          <w:sz w:val="32"/>
          <w:szCs w:val="28"/>
        </w:rPr>
        <w:t>附件：</w:t>
      </w:r>
    </w:p>
    <w:p w14:paraId="189105A9">
      <w:pPr>
        <w:ind w:firstLine="640" w:firstLineChars="200"/>
        <w:rPr>
          <w:rFonts w:ascii="仿宋" w:hAnsi="仿宋" w:eastAsia="仿宋"/>
          <w:sz w:val="32"/>
          <w:szCs w:val="28"/>
        </w:rPr>
      </w:pPr>
      <w:r>
        <w:rPr>
          <w:rFonts w:hint="eastAsia" w:ascii="仿宋" w:hAnsi="仿宋" w:eastAsia="仿宋"/>
          <w:sz w:val="32"/>
          <w:szCs w:val="28"/>
        </w:rPr>
        <w:t>1</w:t>
      </w:r>
      <w:r>
        <w:rPr>
          <w:rFonts w:ascii="仿宋" w:hAnsi="仿宋" w:eastAsia="仿宋"/>
          <w:sz w:val="32"/>
          <w:szCs w:val="28"/>
        </w:rPr>
        <w:t>.</w:t>
      </w:r>
      <w:r>
        <w:rPr>
          <w:rFonts w:hint="eastAsia" w:ascii="仿宋" w:hAnsi="仿宋" w:eastAsia="仿宋"/>
          <w:sz w:val="32"/>
          <w:szCs w:val="28"/>
        </w:rPr>
        <w:t>北京青年政治学院202</w:t>
      </w:r>
      <w:r>
        <w:rPr>
          <w:rFonts w:hint="eastAsia" w:ascii="仿宋" w:hAnsi="仿宋" w:eastAsia="仿宋"/>
          <w:sz w:val="32"/>
          <w:szCs w:val="28"/>
          <w:lang w:val="en-US" w:eastAsia="zh-CN"/>
        </w:rPr>
        <w:t>4</w:t>
      </w:r>
      <w:r>
        <w:rPr>
          <w:rFonts w:hint="eastAsia" w:ascii="仿宋" w:hAnsi="仿宋" w:eastAsia="仿宋"/>
          <w:sz w:val="32"/>
          <w:szCs w:val="28"/>
        </w:rPr>
        <w:t>-202</w:t>
      </w:r>
      <w:r>
        <w:rPr>
          <w:rFonts w:hint="eastAsia" w:ascii="仿宋" w:hAnsi="仿宋" w:eastAsia="仿宋"/>
          <w:sz w:val="32"/>
          <w:szCs w:val="28"/>
          <w:lang w:val="en-US" w:eastAsia="zh-CN"/>
        </w:rPr>
        <w:t>5</w:t>
      </w:r>
      <w:r>
        <w:rPr>
          <w:rFonts w:hint="eastAsia" w:ascii="仿宋" w:hAnsi="仿宋" w:eastAsia="仿宋"/>
          <w:sz w:val="32"/>
          <w:szCs w:val="28"/>
        </w:rPr>
        <w:t>学年国家励志奖学金名额分配表</w:t>
      </w:r>
    </w:p>
    <w:p w14:paraId="0758648A">
      <w:pPr>
        <w:ind w:firstLine="640" w:firstLineChars="200"/>
        <w:rPr>
          <w:rFonts w:ascii="仿宋" w:hAnsi="仿宋" w:eastAsia="仿宋"/>
          <w:sz w:val="32"/>
          <w:szCs w:val="28"/>
        </w:rPr>
      </w:pPr>
      <w:r>
        <w:rPr>
          <w:rFonts w:hint="eastAsia" w:ascii="仿宋" w:hAnsi="仿宋" w:eastAsia="仿宋"/>
          <w:sz w:val="32"/>
          <w:szCs w:val="28"/>
        </w:rPr>
        <w:t>2</w:t>
      </w:r>
      <w:r>
        <w:rPr>
          <w:rFonts w:ascii="仿宋" w:hAnsi="仿宋" w:eastAsia="仿宋"/>
          <w:sz w:val="32"/>
          <w:szCs w:val="28"/>
        </w:rPr>
        <w:t>.</w:t>
      </w:r>
      <w:r>
        <w:rPr>
          <w:rFonts w:hint="eastAsia" w:ascii="仿宋" w:hAnsi="仿宋" w:eastAsia="仿宋"/>
          <w:sz w:val="32"/>
          <w:szCs w:val="28"/>
        </w:rPr>
        <w:t>XX学院202</w:t>
      </w:r>
      <w:r>
        <w:rPr>
          <w:rFonts w:hint="eastAsia" w:ascii="仿宋" w:hAnsi="仿宋" w:eastAsia="仿宋"/>
          <w:sz w:val="32"/>
          <w:szCs w:val="28"/>
          <w:lang w:val="en-US" w:eastAsia="zh-CN"/>
        </w:rPr>
        <w:t>4</w:t>
      </w:r>
      <w:r>
        <w:rPr>
          <w:rFonts w:hint="eastAsia" w:ascii="仿宋" w:hAnsi="仿宋" w:eastAsia="仿宋"/>
          <w:sz w:val="32"/>
          <w:szCs w:val="28"/>
        </w:rPr>
        <w:t>-202</w:t>
      </w:r>
      <w:r>
        <w:rPr>
          <w:rFonts w:hint="eastAsia" w:ascii="仿宋" w:hAnsi="仿宋" w:eastAsia="仿宋"/>
          <w:sz w:val="32"/>
          <w:szCs w:val="28"/>
          <w:lang w:val="en-US" w:eastAsia="zh-CN"/>
        </w:rPr>
        <w:t>5</w:t>
      </w:r>
      <w:r>
        <w:rPr>
          <w:rFonts w:hint="eastAsia" w:ascii="仿宋" w:hAnsi="仿宋" w:eastAsia="仿宋"/>
          <w:sz w:val="32"/>
          <w:szCs w:val="28"/>
        </w:rPr>
        <w:t>学年拟获得国家励志奖学金学生名单</w:t>
      </w:r>
    </w:p>
    <w:p w14:paraId="14925549">
      <w:pPr>
        <w:ind w:firstLine="640" w:firstLineChars="200"/>
        <w:rPr>
          <w:rFonts w:hint="eastAsia" w:ascii="仿宋" w:hAnsi="仿宋" w:eastAsia="仿宋"/>
          <w:sz w:val="32"/>
          <w:szCs w:val="28"/>
        </w:rPr>
      </w:pPr>
    </w:p>
    <w:p w14:paraId="5197957D">
      <w:pPr>
        <w:ind w:firstLine="640" w:firstLineChars="200"/>
        <w:rPr>
          <w:rFonts w:hint="eastAsia" w:ascii="仿宋" w:hAnsi="仿宋" w:eastAsia="仿宋"/>
          <w:sz w:val="32"/>
          <w:szCs w:val="28"/>
        </w:rPr>
      </w:pPr>
    </w:p>
    <w:p w14:paraId="74F74292">
      <w:pPr>
        <w:ind w:firstLine="640" w:firstLineChars="200"/>
        <w:rPr>
          <w:rFonts w:ascii="仿宋_GB2312" w:hAnsi="宋体" w:eastAsia="仿宋_GB2312"/>
          <w:sz w:val="32"/>
          <w:szCs w:val="32"/>
        </w:rPr>
      </w:pPr>
      <w:r>
        <w:rPr>
          <w:rFonts w:hint="eastAsia" w:ascii="仿宋" w:hAnsi="仿宋" w:eastAsia="仿宋"/>
          <w:sz w:val="32"/>
          <w:szCs w:val="28"/>
        </w:rPr>
        <w:t xml:space="preserve">                                   </w:t>
      </w:r>
      <w:r>
        <w:rPr>
          <w:rFonts w:hint="eastAsia" w:ascii="仿宋_GB2312" w:hAnsi="宋体" w:eastAsia="仿宋_GB2312"/>
          <w:sz w:val="32"/>
          <w:szCs w:val="32"/>
        </w:rPr>
        <w:t>学生工作处</w:t>
      </w:r>
    </w:p>
    <w:p w14:paraId="3F407861">
      <w:pPr>
        <w:ind w:firstLine="640" w:firstLineChars="200"/>
        <w:jc w:val="right"/>
        <w:rPr>
          <w:rFonts w:ascii="仿宋" w:hAnsi="仿宋" w:eastAsia="仿宋"/>
          <w:sz w:val="32"/>
          <w:szCs w:val="28"/>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年10月</w:t>
      </w:r>
      <w:r>
        <w:rPr>
          <w:rFonts w:hint="eastAsia" w:ascii="仿宋_GB2312" w:hAnsi="宋体" w:eastAsia="仿宋_GB2312"/>
          <w:sz w:val="32"/>
          <w:szCs w:val="32"/>
          <w:lang w:val="en-US" w:eastAsia="zh-CN"/>
        </w:rPr>
        <w:t>17</w:t>
      </w:r>
      <w:r>
        <w:rPr>
          <w:rFonts w:hint="eastAsia" w:ascii="仿宋_GB2312" w:hAnsi="宋体" w:eastAsia="仿宋_GB2312"/>
          <w:sz w:val="32"/>
          <w:szCs w:val="32"/>
        </w:rPr>
        <w:t>日</w:t>
      </w:r>
    </w:p>
    <w:p w14:paraId="19D0968D">
      <w:pPr>
        <w:spacing w:line="560" w:lineRule="exact"/>
        <w:ind w:right="1120"/>
        <w:rPr>
          <w:rFonts w:hint="eastAsia" w:ascii="仿宋" w:hAnsi="仿宋" w:eastAsia="仿宋"/>
          <w:sz w:val="32"/>
          <w:szCs w:val="28"/>
        </w:rPr>
      </w:pPr>
    </w:p>
    <w:p w14:paraId="2F8F57F7">
      <w:pPr>
        <w:pStyle w:val="2"/>
        <w:rPr>
          <w:rFonts w:hint="eastAsia" w:ascii="仿宋" w:hAnsi="仿宋" w:eastAsia="仿宋"/>
          <w:sz w:val="32"/>
          <w:szCs w:val="28"/>
        </w:rPr>
      </w:pPr>
    </w:p>
    <w:tbl>
      <w:tblPr>
        <w:tblStyle w:val="6"/>
        <w:tblpPr w:leftFromText="180" w:rightFromText="180" w:vertAnchor="page" w:horzAnchor="page" w:tblpX="1537" w:tblpY="14782"/>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14:paraId="5933F4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Borders>
              <w:top w:val="single" w:color="auto" w:sz="4" w:space="0"/>
              <w:left w:val="nil"/>
              <w:bottom w:val="single" w:color="auto" w:sz="4" w:space="0"/>
              <w:right w:val="nil"/>
            </w:tcBorders>
          </w:tcPr>
          <w:p w14:paraId="2870C789">
            <w:pPr>
              <w:spacing w:line="560" w:lineRule="exact"/>
              <w:ind w:firstLine="320" w:firstLineChars="100"/>
              <w:rPr>
                <w:rFonts w:ascii="仿宋_GB2312" w:hAnsi="仿宋" w:eastAsia="仿宋_GB2312"/>
                <w:sz w:val="32"/>
                <w:szCs w:val="32"/>
              </w:rPr>
            </w:pPr>
            <w:r>
              <w:rPr>
                <w:rFonts w:hint="eastAsia" w:ascii="仿宋_GB2312" w:hAnsi="仿宋" w:eastAsia="仿宋_GB2312"/>
                <w:sz w:val="32"/>
                <w:szCs w:val="32"/>
              </w:rPr>
              <w:t>学生工作处                       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年10月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日印发</w:t>
            </w:r>
          </w:p>
        </w:tc>
      </w:tr>
    </w:tbl>
    <w:p w14:paraId="72FC2849">
      <w:pPr>
        <w:pStyle w:val="2"/>
        <w:rPr>
          <w:rFonts w:hint="eastAsia" w:ascii="仿宋" w:hAnsi="仿宋" w:eastAsia="仿宋"/>
          <w:sz w:val="3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DB1627"/>
    <w:rsid w:val="00321145"/>
    <w:rsid w:val="00554C4A"/>
    <w:rsid w:val="00633B77"/>
    <w:rsid w:val="00B55FB6"/>
    <w:rsid w:val="00C454F9"/>
    <w:rsid w:val="00D56A27"/>
    <w:rsid w:val="00DC3FA5"/>
    <w:rsid w:val="09CC4539"/>
    <w:rsid w:val="1B9F60D0"/>
    <w:rsid w:val="23173DC9"/>
    <w:rsid w:val="29475CCC"/>
    <w:rsid w:val="2A3610A9"/>
    <w:rsid w:val="38A62F44"/>
    <w:rsid w:val="3B73724C"/>
    <w:rsid w:val="5EDB1627"/>
    <w:rsid w:val="616C5E72"/>
    <w:rsid w:val="630E6504"/>
    <w:rsid w:val="655A508F"/>
    <w:rsid w:val="6C9442EF"/>
    <w:rsid w:val="7A94076B"/>
    <w:rsid w:val="7FE95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rPr>
  </w:style>
  <w:style w:type="paragraph" w:styleId="3">
    <w:name w:val="Body Text Indent"/>
    <w:basedOn w:val="1"/>
    <w:qFormat/>
    <w:uiPriority w:val="0"/>
    <w:pPr>
      <w:spacing w:after="120"/>
      <w:ind w:left="420" w:leftChars="20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fontstyle21"/>
    <w:qFormat/>
    <w:uiPriority w:val="0"/>
    <w:rPr>
      <w:rFonts w:hint="eastAsia" w:ascii="仿宋_GB2312" w:eastAsia="仿宋_GB2312"/>
      <w:color w:val="000000"/>
      <w:sz w:val="32"/>
      <w:szCs w:val="32"/>
    </w:rPr>
  </w:style>
  <w:style w:type="character" w:customStyle="1" w:styleId="9">
    <w:name w:val="页眉 字符"/>
    <w:basedOn w:val="7"/>
    <w:link w:val="5"/>
    <w:qFormat/>
    <w:uiPriority w:val="0"/>
    <w:rPr>
      <w:kern w:val="2"/>
      <w:sz w:val="18"/>
      <w:szCs w:val="18"/>
    </w:rPr>
  </w:style>
  <w:style w:type="character" w:customStyle="1" w:styleId="10">
    <w:name w:val="页脚 字符"/>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1070</Words>
  <Characters>1193</Characters>
  <Lines>11</Lines>
  <Paragraphs>3</Paragraphs>
  <TotalTime>10</TotalTime>
  <ScaleCrop>false</ScaleCrop>
  <LinksUpToDate>false</LinksUpToDate>
  <CharactersWithSpaces>1298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2024-10-09T08:08:00Z</dcterms:created>
  <dc:creator>dell</dc:creator>
  <cp:lastModifiedBy>王茹楠</cp:lastModifiedBy>
  <dcterms:modified xsi:type="dcterms:W3CDTF">2025-10-17T03:02:35Z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EFE580A0DEBA4AF99675EF3A5B632324</vt:lpwstr>
  </property>
  <property fmtid="{D5CDD505-2E9C-101B-9397-08002B2CF9AE}" pid="4" name="KSOTemplateDocerSaveRecord">
    <vt:lpwstr>eyJoZGlkIjoiOWRlNDFhMGUzNmEwNmM0ZGRiYjMxZDEzZjRkZjFlMjciLCJ1c2VySWQiOiIxNjE1MzIyODA4In0=</vt:lpwstr>
  </property>
</Properties>
</file>