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99341">
      <w:pPr>
        <w:jc w:val="distribute"/>
        <w:rPr>
          <w:rFonts w:ascii="方正宋黑简体" w:hAnsi="方正宋黑简体" w:eastAsia="方正宋黑简体" w:cs="方正宋黑简体"/>
          <w:b/>
          <w:bCs/>
          <w:color w:val="FF0000"/>
          <w:sz w:val="72"/>
          <w:szCs w:val="72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共青团</w:t>
      </w:r>
    </w:p>
    <w:p w14:paraId="60A2F8D5">
      <w:pPr>
        <w:jc w:val="distribute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北京青年政治学院委员会</w:t>
      </w:r>
    </w:p>
    <w:p w14:paraId="6730E383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院团发〔</w:t>
      </w: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5994F427">
      <w:pPr>
        <w:spacing w:line="560" w:lineRule="exact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Calibri" w:hAnsi="Calibri" w:cs="Times New Roman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19050" t="19050" r="33020" b="1905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flip:y;margin-left:-32.6pt;margin-top:5.1pt;height:1.5pt;width:487.9pt;z-index:251659264;mso-width-relative:page;mso-height-relative:page;" filled="f" stroked="t" coordsize="21600,21600" o:gfxdata="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BOgEdkAAAAJAQAADwAAAAAAAAABACAAAAAiAAAAZHJzL2Rvd25yZXYu&#10;eG1sUEsBAhQAFAAAAAgAh07iQDxGBC36AQAAzgMAAA4AAAAAAAAAAQAgAAAAKAEAAGRycy9lMm9E&#10;b2MueG1sUEsFBgAAAAAGAAYAWQEAAJQFAAAAAA==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1AE8AA4">
      <w:pPr>
        <w:widowControl/>
        <w:spacing w:line="640" w:lineRule="exact"/>
        <w:jc w:val="center"/>
        <w:outlineLvl w:val="0"/>
        <w:rPr>
          <w:rFonts w:ascii="方正小标宋简体" w:hAnsi="微软雅黑" w:eastAsia="方正小标宋简体" w:cs="宋体"/>
          <w:bCs/>
          <w:kern w:val="36"/>
          <w:sz w:val="44"/>
          <w:szCs w:val="44"/>
        </w:rPr>
      </w:pPr>
      <w:r>
        <w:rPr>
          <w:rFonts w:ascii="方正小标宋简体" w:hAnsi="微软雅黑" w:eastAsia="方正小标宋简体" w:cs="宋体"/>
          <w:bCs/>
          <w:kern w:val="36"/>
          <w:sz w:val="44"/>
          <w:szCs w:val="44"/>
        </w:rPr>
        <w:t>关于举办北京青年政治学院</w:t>
      </w:r>
    </w:p>
    <w:p w14:paraId="00099D10">
      <w:pPr>
        <w:widowControl/>
        <w:spacing w:line="640" w:lineRule="exact"/>
        <w:jc w:val="center"/>
        <w:outlineLvl w:val="0"/>
        <w:rPr>
          <w:rFonts w:ascii="方正小标宋简体" w:hAnsi="微软雅黑" w:eastAsia="方正小标宋简体" w:cs="宋体"/>
          <w:bCs/>
          <w:kern w:val="36"/>
          <w:sz w:val="44"/>
          <w:szCs w:val="44"/>
        </w:rPr>
      </w:pPr>
      <w:r>
        <w:rPr>
          <w:rFonts w:ascii="方正小标宋简体" w:hAnsi="微软雅黑" w:eastAsia="方正小标宋简体" w:cs="宋体"/>
          <w:bCs/>
          <w:kern w:val="36"/>
          <w:sz w:val="44"/>
          <w:szCs w:val="44"/>
        </w:rPr>
        <w:t>第</w:t>
      </w:r>
      <w:r>
        <w:rPr>
          <w:rFonts w:hint="eastAsia" w:ascii="方正小标宋简体" w:hAnsi="微软雅黑" w:eastAsia="方正小标宋简体" w:cs="宋体"/>
          <w:bCs/>
          <w:kern w:val="36"/>
          <w:sz w:val="44"/>
          <w:szCs w:val="44"/>
          <w:lang w:val="en-US" w:eastAsia="zh-CN"/>
        </w:rPr>
        <w:t>二</w:t>
      </w:r>
      <w:r>
        <w:rPr>
          <w:rFonts w:ascii="方正小标宋简体" w:hAnsi="微软雅黑" w:eastAsia="方正小标宋简体" w:cs="宋体"/>
          <w:bCs/>
          <w:kern w:val="36"/>
          <w:sz w:val="44"/>
          <w:szCs w:val="44"/>
        </w:rPr>
        <w:t>届模拟政协提案大赛的通知</w:t>
      </w:r>
    </w:p>
    <w:p w14:paraId="4C8C5455">
      <w:pPr>
        <w:rPr>
          <w:rFonts w:ascii="仿宋" w:hAnsi="仿宋" w:eastAsia="仿宋" w:cs="Times New Roman"/>
          <w:sz w:val="32"/>
          <w:szCs w:val="32"/>
        </w:rPr>
      </w:pPr>
    </w:p>
    <w:p w14:paraId="15DBBE32"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各二级学院团委，广大同学：</w:t>
      </w:r>
    </w:p>
    <w:p w14:paraId="6D8EE748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color w:val="121212"/>
          <w:kern w:val="0"/>
          <w:sz w:val="32"/>
          <w:szCs w:val="32"/>
        </w:rPr>
        <w:t>为贯彻落实习近平总书记关于加强和改进人民政协工作的重要思想，充分</w:t>
      </w:r>
      <w:r>
        <w:rPr>
          <w:rFonts w:hint="eastAsia" w:ascii="仿宋_GB2312" w:eastAsia="仿宋_GB2312"/>
          <w:sz w:val="32"/>
          <w:szCs w:val="32"/>
        </w:rPr>
        <w:t>发挥政协平台优势，统筹各方资源，引导广大青年学生正确认识民主的本质内涵，校团委决定于近期举办北京青年政治学院第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sz w:val="32"/>
          <w:szCs w:val="32"/>
        </w:rPr>
        <w:t>届模拟政协提案大赛。现将有关事项通知如下：</w:t>
      </w:r>
    </w:p>
    <w:p w14:paraId="1E4BAFAF">
      <w:pPr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一、目标要求</w:t>
      </w:r>
    </w:p>
    <w:p w14:paraId="589F9E05">
      <w:pPr>
        <w:ind w:firstLine="645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习近平新时代中国特色社会主义思想为指导，加强对青年学生思想政治教育，让政协走近青年，让青年走进政协，架起人民政协与青年学生之间的桥梁。通过开展模拟政协活动，使中国特色协商民主制度深深根植于青年思想中，培养协商民主意识，</w:t>
      </w:r>
      <w:r>
        <w:rPr>
          <w:rFonts w:ascii="仿宋_GB2312" w:hAnsi="微软雅黑" w:eastAsia="仿宋_GB2312"/>
          <w:color w:val="000000"/>
          <w:sz w:val="32"/>
          <w:szCs w:val="32"/>
        </w:rPr>
        <w:t>增强青年对中国特色社会主义协商民主制度的理解和认同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。贯彻落实习近平总书记关于思政课建设的重要论述，</w:t>
      </w:r>
      <w:r>
        <w:rPr>
          <w:rFonts w:ascii="仿宋_GB2312" w:hAnsi="微软雅黑" w:eastAsia="仿宋_GB2312"/>
          <w:color w:val="000000"/>
          <w:sz w:val="32"/>
          <w:szCs w:val="32"/>
        </w:rPr>
        <w:t>探索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“</w:t>
      </w:r>
      <w:r>
        <w:rPr>
          <w:rFonts w:ascii="仿宋_GB2312" w:hAnsi="微软雅黑" w:eastAsia="仿宋_GB2312"/>
          <w:color w:val="000000"/>
          <w:sz w:val="32"/>
          <w:szCs w:val="32"/>
        </w:rPr>
        <w:t>大思政课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”</w:t>
      </w:r>
      <w:r>
        <w:rPr>
          <w:rFonts w:ascii="仿宋_GB2312" w:hAnsi="微软雅黑" w:eastAsia="仿宋_GB2312"/>
          <w:color w:val="000000"/>
          <w:sz w:val="32"/>
          <w:szCs w:val="32"/>
        </w:rPr>
        <w:t>建设的社会实践创新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引导青年增强“四个意识”、坚定“四个自信”、做到“两个维护”，为青年实践创新搭建更广阔的舞台，提供更丰富的机会，创造更有力的条件。</w:t>
      </w:r>
    </w:p>
    <w:p w14:paraId="7E7E10A9">
      <w:pPr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二</w:t>
      </w:r>
      <w:r>
        <w:rPr>
          <w:rFonts w:hint="eastAsia" w:ascii="黑体" w:hAnsi="黑体" w:eastAsia="黑体"/>
          <w:color w:val="000000"/>
          <w:sz w:val="32"/>
          <w:szCs w:val="32"/>
        </w:rPr>
        <w:t>、赛事性质</w:t>
      </w:r>
    </w:p>
    <w:p w14:paraId="525DB14F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北京青年政治学院第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sz w:val="32"/>
          <w:szCs w:val="32"/>
        </w:rPr>
        <w:t>届模拟政协提案大赛作为朝阳区模拟政协大赛的选拔赛，将于校内进行初赛、校赛两轮竞赛。优胜者可代表学校参加朝阳区驻区高校大学生模拟政协提案大赛，以及“青春建言 共谋未来”2025年北京市青少年模拟政协交流展示活动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等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4CED1E3A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举办模拟政协提案大赛，旨在引导广大北青学子关心社会、了解民情，在实践中坚定制度自信、厚植家国情怀、勇担时代重任。</w:t>
      </w:r>
      <w:r>
        <w:rPr>
          <w:rFonts w:ascii="仿宋_GB2312" w:eastAsia="仿宋_GB2312"/>
          <w:sz w:val="32"/>
          <w:szCs w:val="32"/>
        </w:rPr>
        <w:t>赛事流程及相关规则详见附件</w:t>
      </w:r>
      <w:r>
        <w:rPr>
          <w:rFonts w:hint="eastAsia" w:ascii="仿宋_GB2312" w:eastAsia="仿宋_GB2312"/>
          <w:sz w:val="32"/>
          <w:szCs w:val="32"/>
        </w:rPr>
        <w:t>一。</w:t>
      </w:r>
    </w:p>
    <w:p w14:paraId="7B493508">
      <w:pPr>
        <w:ind w:firstLine="645"/>
        <w:rPr>
          <w:rFonts w:ascii="仿宋_GB2312" w:eastAsia="仿宋_GB2312"/>
          <w:sz w:val="32"/>
          <w:szCs w:val="32"/>
        </w:rPr>
      </w:pPr>
    </w:p>
    <w:p w14:paraId="69F80B0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附件一：参考规则</w:t>
      </w:r>
    </w:p>
    <w:p w14:paraId="6BCB3D0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附件二：优秀政协提案示例</w:t>
      </w:r>
    </w:p>
    <w:p w14:paraId="6EF0B4DE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附件三：北京青年政治学院模拟政协提案大赛作品</w:t>
      </w:r>
    </w:p>
    <w:p w14:paraId="6EF40181">
      <w:pPr>
        <w:pStyle w:val="16"/>
        <w:jc w:val="both"/>
      </w:pPr>
    </w:p>
    <w:p w14:paraId="4228BA3C">
      <w:pPr>
        <w:pStyle w:val="16"/>
        <w:jc w:val="both"/>
      </w:pPr>
    </w:p>
    <w:p w14:paraId="2F7D5661">
      <w:pPr>
        <w:ind w:firstLine="645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共青团北京青年政治学院委员会</w:t>
      </w:r>
    </w:p>
    <w:p w14:paraId="7667A51F">
      <w:pPr>
        <w:ind w:right="960" w:firstLine="645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577706E7">
      <w:pPr>
        <w:widowControl/>
        <w:jc w:val="left"/>
        <w:rPr>
          <w:rFonts w:ascii="宋体" w:hAnsi="宋体"/>
          <w:b/>
          <w:bCs/>
          <w:sz w:val="24"/>
          <w:szCs w:val="28"/>
        </w:rPr>
      </w:pPr>
    </w:p>
    <w:p w14:paraId="5F7F06D5">
      <w:pPr>
        <w:widowControl/>
        <w:jc w:val="left"/>
        <w:rPr>
          <w:rFonts w:ascii="宋体" w:hAnsi="宋体"/>
          <w:b/>
          <w:bCs/>
          <w:sz w:val="24"/>
          <w:szCs w:val="28"/>
        </w:rPr>
      </w:pPr>
      <w:r>
        <w:br w:type="page"/>
      </w:r>
    </w:p>
    <w:p w14:paraId="60C722FB">
      <w:pPr>
        <w:pStyle w:val="16"/>
        <w:jc w:val="both"/>
      </w:pPr>
      <w:r>
        <w:rPr>
          <w:rFonts w:hint="eastAsia"/>
        </w:rPr>
        <w:t>附件一：参考规则</w:t>
      </w:r>
    </w:p>
    <w:p w14:paraId="5295DAEA">
      <w:pPr>
        <w:widowControl/>
        <w:spacing w:line="640" w:lineRule="exact"/>
        <w:jc w:val="center"/>
        <w:outlineLvl w:val="0"/>
        <w:rPr>
          <w:rFonts w:ascii="方正小标宋简体" w:hAnsi="微软雅黑" w:eastAsia="方正小标宋简体" w:cs="宋体"/>
          <w:bCs/>
          <w:kern w:val="36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bCs/>
          <w:spacing w:val="-20"/>
          <w:kern w:val="36"/>
          <w:sz w:val="44"/>
          <w:szCs w:val="44"/>
        </w:rPr>
        <w:t>北京青年政治学院第</w:t>
      </w:r>
      <w:r>
        <w:rPr>
          <w:rFonts w:hint="eastAsia" w:ascii="方正小标宋简体" w:hAnsi="微软雅黑" w:eastAsia="方正小标宋简体" w:cs="宋体"/>
          <w:bCs/>
          <w:spacing w:val="-20"/>
          <w:kern w:val="36"/>
          <w:sz w:val="44"/>
          <w:szCs w:val="44"/>
          <w:lang w:val="en-US" w:eastAsia="zh-CN"/>
        </w:rPr>
        <w:t>二</w:t>
      </w:r>
      <w:r>
        <w:rPr>
          <w:rFonts w:hint="eastAsia" w:ascii="方正小标宋简体" w:hAnsi="微软雅黑" w:eastAsia="方正小标宋简体" w:cs="宋体"/>
          <w:bCs/>
          <w:spacing w:val="-20"/>
          <w:kern w:val="36"/>
          <w:sz w:val="44"/>
          <w:szCs w:val="44"/>
        </w:rPr>
        <w:t>届模拟政协提案大赛</w:t>
      </w:r>
      <w:r>
        <w:rPr>
          <w:rFonts w:hint="eastAsia" w:ascii="方正小标宋简体" w:hAnsi="微软雅黑" w:eastAsia="方正小标宋简体" w:cs="宋体"/>
          <w:bCs/>
          <w:kern w:val="36"/>
          <w:sz w:val="44"/>
          <w:szCs w:val="44"/>
        </w:rPr>
        <w:t>赛事规则</w:t>
      </w:r>
    </w:p>
    <w:p w14:paraId="59FC13C7">
      <w:pPr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一、赛事介绍</w:t>
      </w:r>
    </w:p>
    <w:p w14:paraId="368FB227"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（一）赛事性质</w:t>
      </w:r>
    </w:p>
    <w:p w14:paraId="41B25B7C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北京青年政治学院第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二</w:t>
      </w:r>
      <w:bookmarkStart w:id="0" w:name="_GoBack"/>
      <w:bookmarkEnd w:id="0"/>
      <w:r>
        <w:rPr>
          <w:rFonts w:hint="eastAsia" w:ascii="仿宋_GB2312" w:eastAsia="仿宋_GB2312"/>
          <w:sz w:val="28"/>
          <w:szCs w:val="32"/>
        </w:rPr>
        <w:t>届模拟政协提案大赛作为朝阳区模拟政协大赛的选拔赛，将于校内进行初赛、校赛两轮竞赛。优胜者可代表学校参加朝阳区驻区高校大学生模拟政协提案大赛，以及“青春建言 共谋未来”2025年北京市青少年模拟政协交流展示活动等。</w:t>
      </w:r>
    </w:p>
    <w:p w14:paraId="726C6B4D"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（二）参赛资格</w:t>
      </w:r>
    </w:p>
    <w:p w14:paraId="445D5F36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凡北京青年政治学院全日制在校生均可组队进行参赛，每队人数应为 3-5 人。</w:t>
      </w:r>
    </w:p>
    <w:p w14:paraId="4D1A665F">
      <w:pPr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二、赛事流程</w:t>
      </w:r>
    </w:p>
    <w:p w14:paraId="08D6167E"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（一）初赛</w:t>
      </w:r>
    </w:p>
    <w:p w14:paraId="18299A4C"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1.时间</w:t>
      </w:r>
    </w:p>
    <w:p w14:paraId="0F1103C5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  <w:lang w:val="en-US" w:eastAsia="zh-CN"/>
        </w:rPr>
        <w:t>即日起</w:t>
      </w:r>
      <w:r>
        <w:rPr>
          <w:rFonts w:hint="eastAsia" w:ascii="仿宋_GB2312" w:eastAsia="仿宋_GB2312"/>
          <w:sz w:val="28"/>
          <w:szCs w:val="32"/>
        </w:rPr>
        <w:t>至202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32"/>
        </w:rPr>
        <w:t>年6月2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32"/>
        </w:rPr>
        <w:t>日</w:t>
      </w:r>
    </w:p>
    <w:p w14:paraId="0B935AA3">
      <w:pPr>
        <w:ind w:firstLine="645"/>
        <w:rPr>
          <w:rFonts w:ascii="仿宋_GB2312" w:eastAsia="仿宋_GB2312"/>
          <w:b/>
          <w:sz w:val="28"/>
          <w:szCs w:val="32"/>
          <w:highlight w:val="none"/>
        </w:rPr>
      </w:pPr>
      <w:r>
        <w:rPr>
          <w:rFonts w:ascii="仿宋_GB2312" w:eastAsia="仿宋_GB2312"/>
          <w:b/>
          <w:sz w:val="28"/>
          <w:szCs w:val="32"/>
          <w:highlight w:val="none"/>
        </w:rPr>
        <w:t>2</w:t>
      </w:r>
      <w:r>
        <w:rPr>
          <w:rFonts w:hint="eastAsia" w:ascii="仿宋_GB2312" w:eastAsia="仿宋_GB2312"/>
          <w:b/>
          <w:sz w:val="28"/>
          <w:szCs w:val="32"/>
          <w:highlight w:val="none"/>
        </w:rPr>
        <w:t>.题目</w:t>
      </w:r>
    </w:p>
    <w:p w14:paraId="2F08D876">
      <w:pPr>
        <w:ind w:firstLine="645"/>
        <w:rPr>
          <w:rFonts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sz w:val="28"/>
          <w:szCs w:val="32"/>
          <w:highlight w:val="none"/>
        </w:rPr>
        <w:t>初赛和校赛统一使用朝阳区政协提供的八个选题</w:t>
      </w:r>
      <w:r>
        <w:rPr>
          <w:rFonts w:ascii="仿宋_GB2312" w:eastAsia="仿宋_GB2312"/>
          <w:sz w:val="28"/>
          <w:szCs w:val="32"/>
          <w:highlight w:val="none"/>
        </w:rPr>
        <w:t>方向</w:t>
      </w:r>
      <w:r>
        <w:rPr>
          <w:rFonts w:hint="eastAsia" w:ascii="仿宋_GB2312" w:eastAsia="仿宋_GB2312"/>
          <w:sz w:val="28"/>
          <w:szCs w:val="32"/>
          <w:highlight w:val="none"/>
        </w:rPr>
        <w:t>，参赛队伍挑选其一完成提案撰写。</w:t>
      </w:r>
    </w:p>
    <w:p w14:paraId="0164F805">
      <w:pPr>
        <w:ind w:firstLine="645"/>
        <w:rPr>
          <w:rFonts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32"/>
          <w:highlight w:val="none"/>
        </w:rPr>
        <w:t>议题一：</w:t>
      </w:r>
      <w:r>
        <w:rPr>
          <w:rFonts w:hint="eastAsia" w:ascii="仿宋_GB2312" w:eastAsia="仿宋_GB2312"/>
          <w:sz w:val="28"/>
          <w:szCs w:val="32"/>
          <w:highlight w:val="none"/>
        </w:rPr>
        <w:t>构建赛事体系，持续推动首都全民健身和体育产业发展</w:t>
      </w:r>
    </w:p>
    <w:p w14:paraId="198B806E">
      <w:pPr>
        <w:ind w:firstLine="645"/>
        <w:rPr>
          <w:rFonts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32"/>
          <w:highlight w:val="none"/>
        </w:rPr>
        <w:t>议题二：</w:t>
      </w:r>
      <w:r>
        <w:rPr>
          <w:rFonts w:hint="eastAsia" w:ascii="仿宋_GB2312" w:eastAsia="仿宋_GB2312"/>
          <w:sz w:val="28"/>
          <w:szCs w:val="32"/>
          <w:highlight w:val="none"/>
        </w:rPr>
        <w:t>进一步扩大城市立体绿量，促进绿化彩化美化生态空间建设</w:t>
      </w:r>
    </w:p>
    <w:p w14:paraId="17CAC0AD">
      <w:pPr>
        <w:ind w:firstLine="645"/>
        <w:rPr>
          <w:rFonts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32"/>
          <w:highlight w:val="none"/>
        </w:rPr>
        <w:t>议题三：</w:t>
      </w:r>
      <w:r>
        <w:rPr>
          <w:rFonts w:hint="eastAsia" w:ascii="仿宋_GB2312" w:eastAsia="仿宋_GB2312"/>
          <w:sz w:val="28"/>
          <w:szCs w:val="32"/>
          <w:highlight w:val="none"/>
        </w:rPr>
        <w:t>协同打造高能级科创平台，推动京津冀因地制宜发展新质生产力</w:t>
      </w:r>
    </w:p>
    <w:p w14:paraId="584E5B1D">
      <w:pPr>
        <w:ind w:firstLine="645"/>
        <w:rPr>
          <w:rFonts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32"/>
          <w:highlight w:val="none"/>
        </w:rPr>
        <w:t>议题四：</w:t>
      </w:r>
      <w:r>
        <w:rPr>
          <w:rFonts w:hint="eastAsia" w:ascii="仿宋_GB2312" w:eastAsia="仿宋_GB2312"/>
          <w:sz w:val="28"/>
          <w:szCs w:val="32"/>
          <w:highlight w:val="none"/>
        </w:rPr>
        <w:t>推动博物馆高质量发展，服务全国文化中心建设</w:t>
      </w:r>
    </w:p>
    <w:p w14:paraId="510A5AD0">
      <w:pPr>
        <w:ind w:firstLine="645"/>
        <w:rPr>
          <w:rFonts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32"/>
          <w:highlight w:val="none"/>
        </w:rPr>
        <w:t>议题五：</w:t>
      </w:r>
      <w:r>
        <w:rPr>
          <w:rFonts w:hint="eastAsia" w:ascii="仿宋_GB2312" w:eastAsia="仿宋_GB2312"/>
          <w:sz w:val="28"/>
          <w:szCs w:val="32"/>
          <w:highlight w:val="none"/>
        </w:rPr>
        <w:t>推进国际消费中心城市建设</w:t>
      </w:r>
    </w:p>
    <w:p w14:paraId="154AB5AE">
      <w:pPr>
        <w:ind w:firstLine="645"/>
        <w:rPr>
          <w:rFonts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32"/>
          <w:highlight w:val="none"/>
        </w:rPr>
        <w:t>议题六：</w:t>
      </w:r>
      <w:r>
        <w:rPr>
          <w:rFonts w:hint="eastAsia" w:ascii="仿宋_GB2312" w:eastAsia="仿宋_GB2312"/>
          <w:sz w:val="28"/>
          <w:szCs w:val="32"/>
          <w:highlight w:val="none"/>
        </w:rPr>
        <w:t>加快建设国际绿色经济标杆城市，提升绿色经济国际影响力</w:t>
      </w:r>
    </w:p>
    <w:p w14:paraId="6E289F10">
      <w:pPr>
        <w:ind w:firstLine="645"/>
        <w:rPr>
          <w:rFonts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32"/>
          <w:highlight w:val="none"/>
        </w:rPr>
        <w:t>议题七：</w:t>
      </w:r>
      <w:r>
        <w:rPr>
          <w:rFonts w:hint="eastAsia" w:ascii="仿宋_GB2312" w:eastAsia="仿宋_GB2312"/>
          <w:sz w:val="28"/>
          <w:szCs w:val="32"/>
          <w:highlight w:val="none"/>
        </w:rPr>
        <w:t>推进青少年科学教育，提升学生科学素养</w:t>
      </w:r>
    </w:p>
    <w:p w14:paraId="276B1443">
      <w:pPr>
        <w:ind w:firstLine="645"/>
        <w:rPr>
          <w:rFonts w:ascii="仿宋_GB2312" w:eastAsia="仿宋_GB2312"/>
          <w:sz w:val="28"/>
          <w:szCs w:val="32"/>
          <w:highlight w:val="none"/>
        </w:rPr>
      </w:pPr>
      <w:r>
        <w:rPr>
          <w:rFonts w:hint="eastAsia" w:ascii="仿宋_GB2312" w:eastAsia="仿宋_GB2312"/>
          <w:b/>
          <w:sz w:val="28"/>
          <w:szCs w:val="32"/>
          <w:highlight w:val="none"/>
        </w:rPr>
        <w:t>议题八：</w:t>
      </w:r>
      <w:r>
        <w:rPr>
          <w:rFonts w:hint="eastAsia" w:ascii="仿宋_GB2312" w:eastAsia="仿宋_GB2312"/>
          <w:sz w:val="28"/>
          <w:szCs w:val="32"/>
          <w:highlight w:val="none"/>
        </w:rPr>
        <w:t>推进社区卫生服务中心标准化建设</w:t>
      </w:r>
    </w:p>
    <w:p w14:paraId="51F51419"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ascii="仿宋_GB2312" w:eastAsia="仿宋_GB2312"/>
          <w:b/>
          <w:sz w:val="28"/>
          <w:szCs w:val="32"/>
        </w:rPr>
        <w:t>3</w:t>
      </w:r>
      <w:r>
        <w:rPr>
          <w:rFonts w:hint="eastAsia" w:ascii="仿宋_GB2312" w:eastAsia="仿宋_GB2312"/>
          <w:b/>
          <w:sz w:val="28"/>
          <w:szCs w:val="32"/>
        </w:rPr>
        <w:t>.提案撰写要求</w:t>
      </w:r>
    </w:p>
    <w:p w14:paraId="4210E10B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提案应一事一案，实事求是，简明扼要，做到有情况、有分析、有具体的建议。不得包括违反宪法法律的、涉及国家秘密的、属于学术研讨的、解决个人问题的、没有具体建议的内容。</w:t>
      </w:r>
    </w:p>
    <w:p w14:paraId="1C96344C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提案应包括题目、提案者、提案内容。提案内容一般包括案由、问题分析、对策建议三部分，案由应简明扼要，问题分析要言之有据，对策建议要具体可行。</w:t>
      </w:r>
    </w:p>
    <w:p w14:paraId="4960FE28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提案字数应控制在 1500字左右，不得超过 2000字。</w:t>
      </w:r>
    </w:p>
    <w:p w14:paraId="2903275D"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ascii="仿宋_GB2312" w:eastAsia="仿宋_GB2312"/>
          <w:b/>
          <w:sz w:val="28"/>
          <w:szCs w:val="32"/>
        </w:rPr>
        <w:t>4</w:t>
      </w:r>
      <w:r>
        <w:rPr>
          <w:rFonts w:hint="eastAsia" w:ascii="仿宋_GB2312" w:eastAsia="仿宋_GB2312"/>
          <w:b/>
          <w:sz w:val="28"/>
          <w:szCs w:val="32"/>
        </w:rPr>
        <w:t>.评选</w:t>
      </w:r>
    </w:p>
    <w:p w14:paraId="7909E4A9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28"/>
        </w:rPr>
        <w:t>参赛队伍应于6月2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日 24:00 前将提案初稿</w:t>
      </w:r>
      <w:r>
        <w:rPr>
          <w:rFonts w:hint="eastAsia" w:ascii="仿宋_GB2312" w:eastAsia="仿宋_GB2312"/>
          <w:sz w:val="28"/>
          <w:szCs w:val="32"/>
        </w:rPr>
        <w:t>（附件三：北京青年政治学院模拟政协提案大赛作品）</w:t>
      </w:r>
      <w:r>
        <w:rPr>
          <w:rFonts w:hint="eastAsia" w:ascii="仿宋_GB2312" w:eastAsia="仿宋_GB2312"/>
          <w:sz w:val="28"/>
          <w:szCs w:val="28"/>
        </w:rPr>
        <w:t>发送至邮箱tuanwei@bjypc.edu.cn。</w:t>
      </w:r>
      <w:r>
        <w:rPr>
          <w:rFonts w:hint="eastAsia" w:ascii="仿宋_GB2312" w:eastAsia="仿宋_GB2312"/>
          <w:sz w:val="28"/>
          <w:szCs w:val="32"/>
        </w:rPr>
        <w:t>文件及邮件名称均为“选题序号+题目+提案者+学院”，未按规定形式提交材料的参赛队伍将被取消参赛资格。</w:t>
      </w:r>
    </w:p>
    <w:p w14:paraId="0B962B59"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  <w:lang w:val="en-US" w:eastAsia="zh-CN"/>
        </w:rPr>
        <w:t>5</w:t>
      </w:r>
      <w:r>
        <w:rPr>
          <w:rFonts w:hint="eastAsia" w:ascii="仿宋_GB2312" w:eastAsia="仿宋_GB2312"/>
          <w:b/>
          <w:sz w:val="28"/>
          <w:szCs w:val="32"/>
        </w:rPr>
        <w:t>.评委</w:t>
      </w:r>
    </w:p>
    <w:p w14:paraId="1B09A3DD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以上材料由评委老师进行审阅,筛选出不超过六支队伍进入校赛。</w:t>
      </w:r>
    </w:p>
    <w:p w14:paraId="5BE02768"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（二）校赛</w:t>
      </w:r>
    </w:p>
    <w:p w14:paraId="41549D9E"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1.形式</w:t>
      </w:r>
    </w:p>
    <w:p w14:paraId="662F9242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校赛采用现场汇报展示的形式进行。</w:t>
      </w:r>
      <w:r>
        <w:rPr>
          <w:rFonts w:ascii="仿宋_GB2312" w:eastAsia="仿宋_GB2312"/>
          <w:sz w:val="28"/>
          <w:szCs w:val="32"/>
        </w:rPr>
        <w:t>进入</w:t>
      </w:r>
      <w:r>
        <w:rPr>
          <w:rFonts w:hint="eastAsia" w:ascii="仿宋_GB2312" w:eastAsia="仿宋_GB2312"/>
          <w:sz w:val="28"/>
          <w:szCs w:val="32"/>
        </w:rPr>
        <w:t>校赛</w:t>
      </w:r>
      <w:r>
        <w:rPr>
          <w:rFonts w:ascii="仿宋_GB2312" w:eastAsia="仿宋_GB2312"/>
          <w:sz w:val="28"/>
          <w:szCs w:val="32"/>
        </w:rPr>
        <w:t>队伍</w:t>
      </w:r>
      <w:r>
        <w:rPr>
          <w:rFonts w:hint="eastAsia" w:ascii="仿宋_GB2312" w:eastAsia="仿宋_GB2312"/>
          <w:sz w:val="28"/>
          <w:szCs w:val="32"/>
        </w:rPr>
        <w:t>应</w:t>
      </w:r>
      <w:r>
        <w:rPr>
          <w:rFonts w:ascii="仿宋_GB2312" w:eastAsia="仿宋_GB2312"/>
          <w:sz w:val="28"/>
          <w:szCs w:val="32"/>
        </w:rPr>
        <w:t>于暑假进行进一步调研，并以文字、图片、视频等形式记录调研过程</w:t>
      </w:r>
      <w:r>
        <w:rPr>
          <w:rFonts w:hint="eastAsia" w:ascii="仿宋_GB2312" w:eastAsia="仿宋_GB2312"/>
          <w:sz w:val="28"/>
          <w:szCs w:val="32"/>
        </w:rPr>
        <w:t>，</w:t>
      </w:r>
      <w:r>
        <w:rPr>
          <w:rFonts w:ascii="仿宋_GB2312" w:eastAsia="仿宋_GB2312"/>
          <w:sz w:val="28"/>
          <w:szCs w:val="32"/>
        </w:rPr>
        <w:t>未进行调研的队伍不得参加现场展示</w:t>
      </w:r>
      <w:r>
        <w:rPr>
          <w:rFonts w:hint="eastAsia" w:ascii="仿宋_GB2312" w:eastAsia="仿宋_GB2312"/>
          <w:sz w:val="28"/>
          <w:szCs w:val="32"/>
        </w:rPr>
        <w:t>。进入校赛各支</w:t>
      </w:r>
      <w:r>
        <w:rPr>
          <w:rFonts w:hint="eastAsia" w:ascii="仿宋_GB2312" w:eastAsia="仿宋_GB2312"/>
          <w:sz w:val="28"/>
          <w:szCs w:val="28"/>
        </w:rPr>
        <w:t>队伍应于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日 24:00前将提案终稿</w:t>
      </w:r>
      <w:r>
        <w:rPr>
          <w:rFonts w:hint="eastAsia" w:ascii="仿宋_GB2312" w:eastAsia="仿宋_GB2312"/>
          <w:sz w:val="28"/>
          <w:szCs w:val="32"/>
        </w:rPr>
        <w:t>（附件三：北京青年政治学院模拟政协提案大赛作品）及支撑材料打包</w:t>
      </w:r>
      <w:r>
        <w:rPr>
          <w:rFonts w:hint="eastAsia" w:ascii="仿宋_GB2312" w:eastAsia="仿宋_GB2312"/>
          <w:sz w:val="28"/>
          <w:szCs w:val="28"/>
        </w:rPr>
        <w:t>发送至邮箱tuanwei@bjypc.edu.cn，</w:t>
      </w:r>
    </w:p>
    <w:p w14:paraId="4A0AE257"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2.</w:t>
      </w:r>
      <w:r>
        <w:rPr>
          <w:rFonts w:hint="eastAsia" w:ascii="仿宋_GB2312" w:eastAsia="仿宋_GB2312"/>
          <w:b/>
          <w:sz w:val="28"/>
          <w:szCs w:val="32"/>
          <w:lang w:val="en-US" w:eastAsia="zh-CN"/>
        </w:rPr>
        <w:t>答辩</w:t>
      </w:r>
      <w:r>
        <w:rPr>
          <w:rFonts w:hint="eastAsia" w:ascii="仿宋_GB2312" w:eastAsia="仿宋_GB2312"/>
          <w:b/>
          <w:sz w:val="28"/>
          <w:szCs w:val="32"/>
        </w:rPr>
        <w:t>流程</w:t>
      </w:r>
    </w:p>
    <w:p w14:paraId="1E9A00D2">
      <w:pPr>
        <w:ind w:firstLine="645"/>
        <w:rPr>
          <w:rFonts w:hint="eastAsia" w:ascii="仿宋_GB2312" w:eastAsia="仿宋_GB2312"/>
          <w:sz w:val="28"/>
          <w:szCs w:val="32"/>
          <w:lang w:val="en-US" w:eastAsia="zh-CN"/>
        </w:rPr>
      </w:pPr>
      <w:r>
        <w:rPr>
          <w:rFonts w:hint="eastAsia" w:ascii="仿宋_GB2312" w:eastAsia="仿宋_GB2312"/>
          <w:sz w:val="28"/>
          <w:szCs w:val="32"/>
        </w:rPr>
        <w:t>提案陈述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和答辩</w:t>
      </w:r>
      <w:r>
        <w:rPr>
          <w:rFonts w:hint="eastAsia" w:ascii="仿宋_GB2312" w:eastAsia="仿宋_GB2312"/>
          <w:sz w:val="28"/>
          <w:szCs w:val="32"/>
        </w:rPr>
        <w:t>:各队应选派发言人一人，简要介绍提案内容和前期调研情况，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陈述时间限时5</w:t>
      </w:r>
      <w:r>
        <w:rPr>
          <w:rFonts w:hint="eastAsia" w:ascii="仿宋_GB2312" w:eastAsia="仿宋_GB2312"/>
          <w:sz w:val="28"/>
          <w:szCs w:val="32"/>
        </w:rPr>
        <w:t>分钟</w:t>
      </w:r>
      <w:r>
        <w:rPr>
          <w:rFonts w:hint="eastAsia" w:ascii="仿宋_GB2312" w:eastAsia="仿宋_GB2312"/>
          <w:sz w:val="28"/>
          <w:szCs w:val="32"/>
          <w:lang w:eastAsia="zh-CN"/>
        </w:rPr>
        <w:t>，</w:t>
      </w:r>
      <w:r>
        <w:rPr>
          <w:rFonts w:hint="eastAsia" w:ascii="仿宋_GB2312" w:eastAsia="仿宋_GB2312"/>
          <w:sz w:val="28"/>
          <w:szCs w:val="32"/>
        </w:rPr>
        <w:t>评委提问及答辩时间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限时3</w:t>
      </w:r>
      <w:r>
        <w:rPr>
          <w:rFonts w:hint="eastAsia" w:ascii="仿宋_GB2312" w:eastAsia="仿宋_GB2312"/>
          <w:sz w:val="28"/>
          <w:szCs w:val="32"/>
        </w:rPr>
        <w:t>分钟</w:t>
      </w:r>
      <w:r>
        <w:rPr>
          <w:rFonts w:hint="eastAsia" w:ascii="仿宋_GB2312" w:eastAsia="仿宋_GB2312"/>
          <w:sz w:val="28"/>
          <w:szCs w:val="32"/>
          <w:lang w:eastAsia="zh-CN"/>
        </w:rPr>
        <w:t>。</w:t>
      </w:r>
    </w:p>
    <w:p w14:paraId="6DA92F54">
      <w:pPr>
        <w:ind w:firstLine="645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sz w:val="28"/>
          <w:szCs w:val="32"/>
        </w:rPr>
        <w:t>.评分标准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121"/>
        <w:gridCol w:w="5484"/>
      </w:tblGrid>
      <w:tr w14:paraId="32F3E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168" w:type="dxa"/>
            <w:vMerge w:val="restart"/>
            <w:vAlign w:val="center"/>
          </w:tcPr>
          <w:p w14:paraId="0E898B4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提案分</w:t>
            </w:r>
          </w:p>
          <w:p w14:paraId="4DB1BE1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（</w:t>
            </w:r>
            <w:r>
              <w:rPr>
                <w:rFonts w:hint="eastAsia" w:ascii="宋体" w:hAnsi="宋体"/>
              </w:rPr>
              <w:t>60</w:t>
            </w:r>
            <w:r>
              <w:rPr>
                <w:rFonts w:ascii="宋体" w:hAnsi="宋体"/>
              </w:rPr>
              <w:t>分）</w:t>
            </w:r>
          </w:p>
        </w:tc>
        <w:tc>
          <w:tcPr>
            <w:tcW w:w="1121" w:type="dxa"/>
            <w:vAlign w:val="center"/>
          </w:tcPr>
          <w:p w14:paraId="36D6969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问题聚焦</w:t>
            </w:r>
          </w:p>
          <w:p w14:paraId="615C83C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（15</w:t>
            </w:r>
            <w:r>
              <w:rPr>
                <w:rFonts w:ascii="宋体" w:hAnsi="宋体"/>
              </w:rPr>
              <w:t>分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484" w:type="dxa"/>
            <w:vAlign w:val="center"/>
          </w:tcPr>
          <w:p w14:paraId="3537A64F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主要围绕党和国家中心任务，社会主义经济建设、政治建设、文化建设、社会建设、生态文明建设中的重要问题，爱国统一战线的重大问题，人民群众普遍关心的实际问题，确定选题，持续跟踪，提出提案。</w:t>
            </w:r>
          </w:p>
        </w:tc>
      </w:tr>
      <w:tr w14:paraId="44E03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168" w:type="dxa"/>
            <w:vMerge w:val="continue"/>
            <w:vAlign w:val="center"/>
          </w:tcPr>
          <w:p w14:paraId="533F9F6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21" w:type="dxa"/>
            <w:vAlign w:val="center"/>
          </w:tcPr>
          <w:p w14:paraId="4AD362E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情况准确</w:t>
            </w:r>
          </w:p>
          <w:p w14:paraId="2A84FC2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（15</w:t>
            </w:r>
            <w:r>
              <w:rPr>
                <w:rFonts w:ascii="宋体" w:hAnsi="宋体"/>
              </w:rPr>
              <w:t>分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484" w:type="dxa"/>
            <w:vAlign w:val="center"/>
          </w:tcPr>
          <w:p w14:paraId="4ACA104D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坚持不调查研究不提提案的原则，以问题为导向，深入基层，深入群众，充分占有材料，核准事实情况和相关政策法律，客观反映事物的本来面目。</w:t>
            </w:r>
          </w:p>
        </w:tc>
      </w:tr>
      <w:tr w14:paraId="538CD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68" w:type="dxa"/>
            <w:vMerge w:val="continue"/>
            <w:vAlign w:val="center"/>
          </w:tcPr>
          <w:p w14:paraId="681C652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21" w:type="dxa"/>
            <w:vAlign w:val="center"/>
          </w:tcPr>
          <w:p w14:paraId="2460E5F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分析深入</w:t>
            </w:r>
          </w:p>
          <w:p w14:paraId="34628D3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（</w:t>
            </w:r>
            <w:r>
              <w:rPr>
                <w:rFonts w:hint="eastAsia" w:ascii="宋体" w:hAnsi="宋体"/>
              </w:rPr>
              <w:t>15</w:t>
            </w:r>
            <w:r>
              <w:rPr>
                <w:rFonts w:ascii="宋体" w:hAnsi="宋体"/>
              </w:rPr>
              <w:t>分）</w:t>
            </w:r>
          </w:p>
        </w:tc>
        <w:tc>
          <w:tcPr>
            <w:tcW w:w="5484" w:type="dxa"/>
            <w:vAlign w:val="center"/>
          </w:tcPr>
          <w:p w14:paraId="43D167ED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在调查研究的基础上深刻思考，深入分析，衡情酌理，把问题说清说透。</w:t>
            </w:r>
          </w:p>
        </w:tc>
      </w:tr>
      <w:tr w14:paraId="4EDF8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1168" w:type="dxa"/>
            <w:vMerge w:val="continue"/>
            <w:vAlign w:val="center"/>
          </w:tcPr>
          <w:p w14:paraId="5D4FD67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21" w:type="dxa"/>
            <w:vAlign w:val="center"/>
          </w:tcPr>
          <w:p w14:paraId="5AE3E30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建议具体</w:t>
            </w:r>
          </w:p>
          <w:p w14:paraId="738891A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（</w:t>
            </w:r>
            <w:r>
              <w:rPr>
                <w:rFonts w:hint="eastAsia" w:ascii="宋体" w:hAnsi="宋体"/>
              </w:rPr>
              <w:t>15</w:t>
            </w:r>
            <w:r>
              <w:rPr>
                <w:rFonts w:ascii="宋体" w:hAnsi="宋体"/>
              </w:rPr>
              <w:t>分）</w:t>
            </w:r>
          </w:p>
        </w:tc>
        <w:tc>
          <w:tcPr>
            <w:tcW w:w="5484" w:type="dxa"/>
            <w:vAlign w:val="center"/>
          </w:tcPr>
          <w:p w14:paraId="594889E9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提案中的意见建议应针对问题逐一提出，坚持切口小、道理硬、靶向准，明确具体。既考虑人民群众的愿望和要求，又考虑实施的条件和时机，具有针对性和可行性。</w:t>
            </w:r>
          </w:p>
        </w:tc>
      </w:tr>
      <w:tr w14:paraId="0EFF8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168" w:type="dxa"/>
            <w:vMerge w:val="restart"/>
            <w:vAlign w:val="center"/>
          </w:tcPr>
          <w:p w14:paraId="7111A70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现场表现</w:t>
            </w:r>
          </w:p>
          <w:p w14:paraId="4D42EF4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（</w:t>
            </w:r>
            <w:r>
              <w:rPr>
                <w:rFonts w:hint="eastAsia" w:ascii="宋体" w:hAnsi="宋体"/>
              </w:rPr>
              <w:t>40</w:t>
            </w:r>
            <w:r>
              <w:rPr>
                <w:rFonts w:ascii="宋体" w:hAnsi="宋体"/>
              </w:rPr>
              <w:t>分）</w:t>
            </w:r>
          </w:p>
        </w:tc>
        <w:tc>
          <w:tcPr>
            <w:tcW w:w="1121" w:type="dxa"/>
            <w:vAlign w:val="center"/>
          </w:tcPr>
          <w:p w14:paraId="1BE3126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仪态表达</w:t>
            </w:r>
          </w:p>
          <w:p w14:paraId="71459A1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</w:t>
            </w:r>
            <w:r>
              <w:rPr>
                <w:rFonts w:ascii="宋体" w:hAnsi="宋体"/>
              </w:rPr>
              <w:t>10分）</w:t>
            </w:r>
          </w:p>
        </w:tc>
        <w:tc>
          <w:tcPr>
            <w:tcW w:w="5484" w:type="dxa"/>
            <w:vAlign w:val="center"/>
          </w:tcPr>
          <w:p w14:paraId="16351F54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选手仪态应端庄大方，自信得体；发言和答辩过程应表达流畅、口齿清晰、体现礼貌。</w:t>
            </w:r>
          </w:p>
        </w:tc>
      </w:tr>
      <w:tr w14:paraId="62D0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168" w:type="dxa"/>
            <w:vMerge w:val="continue"/>
            <w:vAlign w:val="center"/>
          </w:tcPr>
          <w:p w14:paraId="7C8BC10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21" w:type="dxa"/>
            <w:vAlign w:val="center"/>
          </w:tcPr>
          <w:p w14:paraId="1879D8E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参与讨论</w:t>
            </w:r>
          </w:p>
          <w:p w14:paraId="1583E7C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（2</w:t>
            </w:r>
            <w:r>
              <w:rPr>
                <w:rFonts w:ascii="宋体" w:hAnsi="宋体"/>
              </w:rPr>
              <w:t>0分）</w:t>
            </w:r>
          </w:p>
        </w:tc>
        <w:tc>
          <w:tcPr>
            <w:tcW w:w="5484" w:type="dxa"/>
            <w:vAlign w:val="center"/>
          </w:tcPr>
          <w:p w14:paraId="005F4B16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选手发言应紧扣主题，观点明确，逻辑清晰，条理分明；应具有深度和广度，能够充分展现选手的独立思考；提问方尽量给出建设性的改进意见。</w:t>
            </w:r>
          </w:p>
        </w:tc>
      </w:tr>
      <w:tr w14:paraId="7694B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168" w:type="dxa"/>
            <w:vMerge w:val="continue"/>
            <w:vAlign w:val="center"/>
          </w:tcPr>
          <w:p w14:paraId="66A6798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21" w:type="dxa"/>
            <w:vAlign w:val="center"/>
          </w:tcPr>
          <w:p w14:paraId="1B91CFD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成果呈现</w:t>
            </w:r>
          </w:p>
          <w:p w14:paraId="43DF5F1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（10</w:t>
            </w:r>
            <w:r>
              <w:rPr>
                <w:rFonts w:ascii="宋体" w:hAnsi="宋体"/>
              </w:rPr>
              <w:t>分）</w:t>
            </w:r>
          </w:p>
        </w:tc>
        <w:tc>
          <w:tcPr>
            <w:tcW w:w="5484" w:type="dxa"/>
            <w:vAlign w:val="center"/>
          </w:tcPr>
          <w:p w14:paraId="6B4FFC73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综合考虑团队赛前提交的纸质提案，以及现场对提案内容进行的解释和补充，考察选手是否提出了切实可行的方案和建议。</w:t>
            </w:r>
          </w:p>
        </w:tc>
      </w:tr>
    </w:tbl>
    <w:p w14:paraId="41E5FB3E">
      <w:pPr>
        <w:rPr>
          <w:sz w:val="20"/>
        </w:rPr>
      </w:pPr>
    </w:p>
    <w:p w14:paraId="2EE451DE">
      <w:pPr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三、奖项设置</w:t>
      </w:r>
    </w:p>
    <w:p w14:paraId="08256B0C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校赛设团体一、二、三等奖，获奖团队颁发证书。优胜者将推荐参加朝阳区驻区高校大学生模拟政协提案大赛，以及“青春建言 共谋未来”2025年北京市青少年模拟政协交流展示活动等。</w:t>
      </w:r>
    </w:p>
    <w:p w14:paraId="22FCF57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2E4E1EF3">
      <w:pPr>
        <w:pStyle w:val="16"/>
        <w:jc w:val="both"/>
      </w:pPr>
      <w:r>
        <w:rPr>
          <w:rFonts w:hint="eastAsia"/>
        </w:rPr>
        <w:t>附件二：优秀政协提案示例</w:t>
      </w:r>
    </w:p>
    <w:p w14:paraId="1054430F">
      <w:pPr>
        <w:jc w:val="left"/>
      </w:pPr>
      <w:r>
        <w:rPr>
          <w:rFonts w:hint="eastAsia"/>
        </w:rPr>
        <w:t>参见：全国政协2021年度好提案选编（一），载</w:t>
      </w:r>
      <w:r>
        <w:fldChar w:fldCharType="begin"/>
      </w:r>
      <w:r>
        <w:instrText xml:space="preserve"> HYPERLINK "http://www.cppcc.gov.cn/zxww/2022/02/14/ARTI1644806525671160.shtml" </w:instrText>
      </w:r>
      <w:r>
        <w:fldChar w:fldCharType="separate"/>
      </w:r>
      <w:r>
        <w:rPr>
          <w:rStyle w:val="9"/>
          <w:rFonts w:cs="宋体"/>
          <w:kern w:val="0"/>
          <w:szCs w:val="24"/>
        </w:rPr>
        <w:t>http://www.cppcc.gov.cn/zxww/2022/02/14/ARTI1644806525671160.shtml</w:t>
      </w:r>
      <w:r>
        <w:rPr>
          <w:rStyle w:val="9"/>
          <w:rFonts w:cs="宋体"/>
          <w:kern w:val="0"/>
          <w:szCs w:val="24"/>
        </w:rPr>
        <w:fldChar w:fldCharType="end"/>
      </w:r>
    </w:p>
    <w:p w14:paraId="60C2C5D6"/>
    <w:p w14:paraId="060611D8">
      <w:pPr>
        <w:widowControl/>
        <w:spacing w:line="640" w:lineRule="exact"/>
        <w:jc w:val="center"/>
        <w:outlineLvl w:val="0"/>
        <w:rPr>
          <w:rFonts w:ascii="方正小标宋简体" w:hAnsi="微软雅黑" w:eastAsia="方正小标宋简体" w:cs="宋体"/>
          <w:bCs/>
          <w:kern w:val="36"/>
          <w:sz w:val="36"/>
          <w:szCs w:val="44"/>
        </w:rPr>
      </w:pPr>
      <w:r>
        <w:rPr>
          <w:rFonts w:hint="eastAsia" w:ascii="方正小标宋简体" w:hAnsi="微软雅黑" w:eastAsia="方正小标宋简体" w:cs="宋体"/>
          <w:bCs/>
          <w:kern w:val="36"/>
          <w:sz w:val="36"/>
          <w:szCs w:val="44"/>
        </w:rPr>
        <w:t>全国政协十三届四次会议第0018号提案</w:t>
      </w:r>
    </w:p>
    <w:p w14:paraId="66402F79">
      <w:pPr>
        <w:rPr>
          <w:rFonts w:ascii="仿宋_GB2312" w:eastAsia="仿宋_GB2312"/>
          <w:b/>
          <w:kern w:val="0"/>
          <w:sz w:val="28"/>
          <w:szCs w:val="32"/>
        </w:rPr>
      </w:pPr>
    </w:p>
    <w:p w14:paraId="31E73C79">
      <w:pPr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b/>
          <w:spacing w:val="283"/>
          <w:kern w:val="0"/>
          <w:sz w:val="28"/>
          <w:szCs w:val="32"/>
          <w:fitText w:val="843" w:id="-971764733"/>
        </w:rPr>
        <w:t>题</w:t>
      </w:r>
      <w:r>
        <w:rPr>
          <w:rFonts w:hint="eastAsia" w:ascii="仿宋_GB2312" w:eastAsia="仿宋_GB2312"/>
          <w:b/>
          <w:spacing w:val="0"/>
          <w:kern w:val="0"/>
          <w:sz w:val="28"/>
          <w:szCs w:val="32"/>
          <w:fitText w:val="843" w:id="-971764733"/>
        </w:rPr>
        <w:t>目</w:t>
      </w:r>
      <w:r>
        <w:rPr>
          <w:rFonts w:hint="eastAsia" w:ascii="仿宋_GB2312" w:eastAsia="仿宋_GB2312"/>
          <w:b/>
          <w:sz w:val="28"/>
          <w:szCs w:val="32"/>
        </w:rPr>
        <w:t>：</w:t>
      </w:r>
      <w:r>
        <w:rPr>
          <w:rFonts w:hint="eastAsia" w:ascii="仿宋_GB2312" w:eastAsia="仿宋_GB2312"/>
          <w:sz w:val="28"/>
          <w:szCs w:val="32"/>
        </w:rPr>
        <w:t>关于推进医养康养结合向社区居家延伸的提案</w:t>
      </w:r>
    </w:p>
    <w:p w14:paraId="0F07BFDB">
      <w:pPr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b/>
          <w:spacing w:val="1"/>
          <w:w w:val="100"/>
          <w:kern w:val="0"/>
          <w:sz w:val="28"/>
          <w:szCs w:val="32"/>
          <w:fitText w:val="843" w:id="-971764734"/>
        </w:rPr>
        <w:t>提案者</w:t>
      </w:r>
      <w:r>
        <w:rPr>
          <w:rFonts w:hint="eastAsia" w:ascii="仿宋_GB2312" w:eastAsia="仿宋_GB2312"/>
          <w:b/>
          <w:sz w:val="28"/>
          <w:szCs w:val="32"/>
        </w:rPr>
        <w:t>：</w:t>
      </w:r>
      <w:r>
        <w:rPr>
          <w:rFonts w:hint="eastAsia" w:ascii="仿宋_GB2312" w:eastAsia="仿宋_GB2312"/>
          <w:sz w:val="28"/>
          <w:szCs w:val="32"/>
        </w:rPr>
        <w:t>舒晓琴、林蕙青</w:t>
      </w:r>
    </w:p>
    <w:p w14:paraId="3757FC7E">
      <w:pPr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pacing w:val="283"/>
          <w:kern w:val="0"/>
          <w:sz w:val="28"/>
          <w:szCs w:val="32"/>
          <w:fitText w:val="843" w:id="-971764732"/>
        </w:rPr>
        <w:t>内</w:t>
      </w:r>
      <w:r>
        <w:rPr>
          <w:rFonts w:hint="eastAsia" w:ascii="仿宋_GB2312" w:eastAsia="仿宋_GB2312"/>
          <w:b/>
          <w:spacing w:val="0"/>
          <w:kern w:val="0"/>
          <w:sz w:val="28"/>
          <w:szCs w:val="32"/>
          <w:fitText w:val="843" w:id="-971764732"/>
        </w:rPr>
        <w:t>容</w:t>
      </w:r>
      <w:r>
        <w:rPr>
          <w:rFonts w:hint="eastAsia" w:ascii="仿宋_GB2312" w:eastAsia="仿宋_GB2312"/>
          <w:b/>
          <w:sz w:val="28"/>
          <w:szCs w:val="32"/>
        </w:rPr>
        <w:t>：</w:t>
      </w:r>
    </w:p>
    <w:p w14:paraId="457E2FA3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根据相关预测，“十四五”期间全国老年人口将突破3亿，从轻度老龄化迈入中度老龄化，是做好养老服务准备的宝贵窗口期。党的十九届五中全会通过的《建议》指出，“构建居家社区机构相协调、医养康养相结合的养老服务体系”。根据我国国情和传统，居家养老是主流养老方式。当前，受经济社会发展影响，家庭结构日益小型化、核心化、空巢化，老年人口快速增长，特别是高龄、失能、失智老年人日益增多，家庭养老面临很大压力。同时，以社区为依托的居家养老服务发展还不成熟，老年人最关心的就餐、医养等养老服务供给不足。特别是医疗卫生和养老服务体系在监管、行业、资源等方面相对独立，社区居家养老与医疗卫生服务结合不紧密，基层医疗机构工作繁重、人手不足，家庭医生上门少、服务难，不能满足老年人健康服务需求。</w:t>
      </w:r>
    </w:p>
    <w:p w14:paraId="14F64D18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为此建议，整合医疗、养老机构，社区，家庭资源优势，推动医疗卫生与养老服务有效衔接，不断向社区、家庭延伸，形成医疗、康复、养老融为一体的居家社区养老服务模式。</w:t>
      </w:r>
    </w:p>
    <w:p w14:paraId="47F85322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一、扩大社区居家养老服务供给。健全市场机制，激发养老服务市场活力，扩大养老服务就业创业，提高养老从业人员服务水平和待遇，支持医养康护企业、养老机构、物业、家政等社会化养老服务团队进入社区。建设社区居家养老服务网络，完善基本服务清单，在老年餐桌、家务、理发、文体娱乐活动等日常生活服务基础上，着力强化健康照护服务，形成以社区为依托的“15分钟”居家养老服务圈，提升养老服务覆盖面和服务质量。重点加强独居、空巢、留守、计划生育特殊家庭等居家特困老年人的巡访探访，提供生活照料、助餐助行、紧急救援、精神慰藉等上门服务。</w:t>
      </w:r>
    </w:p>
    <w:p w14:paraId="1C9A08C9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二、推动医养结合延伸至社区。继续推进社区医养结合能力提升工程，综合考虑区域内服务资源、服务半径、服务人口以及城镇化、老龄化、人口流动迁移等因素，将养老与卫生服务机构统筹规划、毗邻建设、签约合作，融合医养结合服务。开展老年友善医院建设，支持基层卫生服务机构新建或改扩建医养结合服务设施，开设老年人就医绿色通道和老年康复护理专区。在社区居家养老服务中心建设医疗护理站，与签约医疗卫生机构建立双向转诊机制，使老年人享受家门口全科医生提供的优先就诊、定期体检、健康指导、中医调理、慢性病管理等服务。</w:t>
      </w:r>
    </w:p>
    <w:p w14:paraId="5C4FBACB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三、积极发展居家医养结合服务。针对高龄、失能、失智老年人迫切的居家健康服务需求，不断将健康管理、诊疗护理、药物配送等医养结合服务向居家养老延伸。加强基层全科医生人才队伍和医疗机构建设，将家庭医生签约服务作为居家健康养老服务的重要抓手，优先为老年人提供家庭病床、上门巡诊等服务。组织专业机构为老年人家庭成员开展护理技术、应急救护培训，扩大长期照护保险制度试点，整合各类居家养老服务资源，扩大支持保障范围，减轻家庭养老负担。</w:t>
      </w:r>
    </w:p>
    <w:p w14:paraId="79BDEB4A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四、利用信息技术提升医养结合服务能力。积极探索“互联网+医疗护理”医养融合服务模式，发展智慧健康养老产业，加大老年人健康支持设备和居家防护传感系统研发力度。构建智能化老年人健康管理信息平台，推动信息联通共享，通过大数据分析实时、快捷、高效掌握老年人健康需求。运用信息化技术为居家社区养老提供健康档案管理、健康咨询、健康检测、预约挂号、远程医疗诊断、实时定位、远程看护、紧急救助呼叫等服务，降低服务成本，解决医养结合中的医疗资源不足问题。</w:t>
      </w:r>
    </w:p>
    <w:p w14:paraId="05F86528">
      <w:pPr>
        <w:ind w:firstLine="645"/>
        <w:rPr>
          <w:rFonts w:ascii="仿宋_GB2312" w:eastAsia="仿宋_GB2312"/>
          <w:sz w:val="28"/>
          <w:szCs w:val="32"/>
        </w:rPr>
      </w:pPr>
    </w:p>
    <w:p w14:paraId="5EFD69CD">
      <w:pPr>
        <w:widowControl/>
        <w:jc w:val="left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/>
          <w:sz w:val="28"/>
          <w:szCs w:val="32"/>
        </w:rPr>
        <w:br w:type="page"/>
      </w:r>
    </w:p>
    <w:p w14:paraId="0ACEE9C8">
      <w:pPr>
        <w:widowControl/>
        <w:spacing w:line="640" w:lineRule="exact"/>
        <w:jc w:val="center"/>
        <w:outlineLvl w:val="0"/>
        <w:rPr>
          <w:rFonts w:ascii="方正小标宋简体" w:hAnsi="微软雅黑" w:eastAsia="方正小标宋简体" w:cs="宋体"/>
          <w:bCs/>
          <w:kern w:val="36"/>
          <w:sz w:val="36"/>
          <w:szCs w:val="44"/>
        </w:rPr>
      </w:pPr>
      <w:r>
        <w:rPr>
          <w:rFonts w:hint="eastAsia" w:ascii="方正小标宋简体" w:hAnsi="微软雅黑" w:eastAsia="方正小标宋简体" w:cs="宋体"/>
          <w:bCs/>
          <w:kern w:val="36"/>
          <w:sz w:val="36"/>
          <w:szCs w:val="44"/>
        </w:rPr>
        <w:t>全国政协十三届四次会议第0</w:t>
      </w:r>
      <w:r>
        <w:rPr>
          <w:rFonts w:ascii="方正小标宋简体" w:hAnsi="微软雅黑" w:eastAsia="方正小标宋简体" w:cs="宋体"/>
          <w:bCs/>
          <w:kern w:val="36"/>
          <w:sz w:val="36"/>
          <w:szCs w:val="44"/>
        </w:rPr>
        <w:t>473</w:t>
      </w:r>
      <w:r>
        <w:rPr>
          <w:rFonts w:hint="eastAsia" w:ascii="方正小标宋简体" w:hAnsi="微软雅黑" w:eastAsia="方正小标宋简体" w:cs="宋体"/>
          <w:bCs/>
          <w:kern w:val="36"/>
          <w:sz w:val="36"/>
          <w:szCs w:val="44"/>
        </w:rPr>
        <w:t>号提案</w:t>
      </w:r>
    </w:p>
    <w:p w14:paraId="254D58F8">
      <w:pPr>
        <w:jc w:val="center"/>
        <w:rPr>
          <w:rFonts w:ascii="仿宋_GB2312" w:eastAsia="仿宋_GB2312"/>
          <w:b/>
          <w:sz w:val="28"/>
          <w:szCs w:val="32"/>
        </w:rPr>
      </w:pPr>
    </w:p>
    <w:p w14:paraId="235AE6BB">
      <w:pPr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b/>
          <w:spacing w:val="283"/>
          <w:kern w:val="0"/>
          <w:sz w:val="28"/>
          <w:szCs w:val="32"/>
          <w:fitText w:val="843" w:id="-971764224"/>
        </w:rPr>
        <w:t>题</w:t>
      </w:r>
      <w:r>
        <w:rPr>
          <w:rFonts w:hint="eastAsia" w:ascii="仿宋_GB2312" w:eastAsia="仿宋_GB2312"/>
          <w:b/>
          <w:spacing w:val="0"/>
          <w:kern w:val="0"/>
          <w:sz w:val="28"/>
          <w:szCs w:val="32"/>
          <w:fitText w:val="843" w:id="-971764224"/>
        </w:rPr>
        <w:t>目</w:t>
      </w:r>
      <w:r>
        <w:rPr>
          <w:rFonts w:hint="eastAsia" w:ascii="仿宋_GB2312" w:eastAsia="仿宋_GB2312"/>
          <w:sz w:val="28"/>
          <w:szCs w:val="32"/>
        </w:rPr>
        <w:t>：关于统筹山水林田湖草沙系统治理、推进生态高质量发展的提案</w:t>
      </w:r>
    </w:p>
    <w:p w14:paraId="71525618">
      <w:pPr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提案者</w:t>
      </w:r>
      <w:r>
        <w:rPr>
          <w:rFonts w:hint="eastAsia" w:ascii="仿宋_GB2312" w:eastAsia="仿宋_GB2312"/>
          <w:sz w:val="28"/>
          <w:szCs w:val="32"/>
        </w:rPr>
        <w:t>：民革中央</w:t>
      </w:r>
    </w:p>
    <w:p w14:paraId="7EBDBF77">
      <w:pPr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b/>
          <w:spacing w:val="283"/>
          <w:kern w:val="0"/>
          <w:sz w:val="28"/>
          <w:szCs w:val="32"/>
          <w:fitText w:val="843" w:id="-971764223"/>
        </w:rPr>
        <w:t>内</w:t>
      </w:r>
      <w:r>
        <w:rPr>
          <w:rFonts w:hint="eastAsia" w:ascii="仿宋_GB2312" w:eastAsia="仿宋_GB2312"/>
          <w:b/>
          <w:spacing w:val="0"/>
          <w:kern w:val="0"/>
          <w:sz w:val="28"/>
          <w:szCs w:val="32"/>
          <w:fitText w:val="843" w:id="-971764223"/>
        </w:rPr>
        <w:t>容</w:t>
      </w:r>
      <w:r>
        <w:rPr>
          <w:rFonts w:hint="eastAsia" w:ascii="仿宋_GB2312" w:eastAsia="仿宋_GB2312"/>
          <w:sz w:val="28"/>
          <w:szCs w:val="32"/>
        </w:rPr>
        <w:t>：</w:t>
      </w:r>
    </w:p>
    <w:p w14:paraId="50673609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2020年8月31日，习近平总书记主持召开中共中央政治局会议时指出，统筹推进山水林田湖草沙综合治理、系统治理、源头治理。近年来，我国全面加强生态保护，不断加大生态修复力度，持续推进了大规模国土绿化、湿地与河湖保护修复、防沙治沙、水土保持、生物多样性保护、土地综合整治、海洋生态修复等重点生态工程，生态恶化趋势基本得到遏制，自然生态系统总体稳定向好。</w:t>
      </w:r>
    </w:p>
    <w:p w14:paraId="2290D036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同时，我国自然生态系统总体仍较为脆弱，生态承载力和环境容量不足，经济发展带来的生态保护压力依然较大，部分地区重发展、轻保护所积累的矛盾愈加凸显。在推进有关重点生态工程建设中，山水林田湖草沙系统治理的理念落实还不到位，仍然存在着诸多问题，影响了治理工程整体效益的发挥。主要体现在以下几个方面。</w:t>
      </w:r>
    </w:p>
    <w:p w14:paraId="28907266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一是多部门全社会协同联动机制还不完善，综合治理体系不健全。目前我国生态工程的规划、组织和实践，还是以单类生态系统的保护和恢复为主，“种树的只管种树、治水的只管治水、护田的单纯护田”，一体化保护和修复机制并没有完全构建起来。</w:t>
      </w:r>
    </w:p>
    <w:p w14:paraId="4881712C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二是缺乏系统观念，过度关注某一要素，导致系统不稳定或失衡、甚至崩溃。一些缺水地区，过度绿化，导致防护林发生大面积“枯梢”、死亡。北方风沙危害区由于存在认识误区，植被密度过大，严重消耗地下水，也导致人工植被大面积退化甚至死亡。</w:t>
      </w:r>
    </w:p>
    <w:p w14:paraId="28DF6EB7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三是过度追求量的扩张，生态系统总体上质量不高、功能不强。乔木林每公顷蓄积量95立方米，远低于世界平均水平（131立方米）和欧洲平均水平（约180-200立方米）。90%左右的天然草原不同程度退化，中度和重度退化草原面积占60%以上，草畜矛盾突出。</w:t>
      </w:r>
    </w:p>
    <w:p w14:paraId="1EA73222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为此，建议：</w:t>
      </w:r>
    </w:p>
    <w:p w14:paraId="0F3AF90D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一是坚持部门协作、统筹协调。参照京津风沙源管理模式，建立省部际联席会议，由发展改革部门统筹，自然资源、财政、水利、农业农村、林业和草原等部门参与，以国土空间用途管制为基础，统筹各类规划、资金、项目，对山水林田湖草沙进行一体化保护、一体化修复。</w:t>
      </w:r>
    </w:p>
    <w:p w14:paraId="64713220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二是坚持问题导向、精准施策。建立健全生态系统健康评价技术体系，全面推行生态系统健康评价制度。围绕各个重点区域、重点领域的突出问题，以问题为导向实施生态治理，确定系统治理方案和措施，找准症结，对症下药，提升治理的针对性和有效性。</w:t>
      </w:r>
    </w:p>
    <w:p w14:paraId="659CDDA0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三是坚持尊重自然、科学治理。以水资源承载力为约束条件，做到“以水定绿、以水定林、量水而行”，同时要摒弃以往“重乔木轻灌草”“任何条件都应长满植被”的陈旧和不科学观念，宜林则林、宜灌则灌、宜草则草、宜田则田、宜湿则湿、宜荒则荒、宜沙则沙。</w:t>
      </w:r>
    </w:p>
    <w:p w14:paraId="4DEF2176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四是坚持量质并重、以质为先。通过高质量建设重大工程，来促进自然生态系统从量变到质变。持续实施京津风沙源治理、退耕还林还草、三北防护林建设等重大生态治理工程，加大退化林修复，加强抚育经营，提高森林植被质量，提升生态功能。</w:t>
      </w:r>
    </w:p>
    <w:p w14:paraId="69E379A4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五是坚持三生共赢、绿色发展。以高质量发展为根本要求，以供给侧结构性改革为主线，有计划地发展特色经济林、林下经济、森林康养等林草特色产业，建立起适宜自然资源禀赋和良性循环的生态经济发展模式，在发展中保护，在保护中发展。</w:t>
      </w:r>
    </w:p>
    <w:p w14:paraId="56BE773F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六是坚持精准监测、量化评估。整合分属于各部门的监测队伍和资源，制定与完善技术标准、规程规范和管理办法。构建天地一体化监测体系，开展山水林田湖草沙生命共同体承载能力、适应性、脆弱性、敏感性评价，为山水林田湖草沙系统治理奠定坚实的科学数据基础。</w:t>
      </w:r>
    </w:p>
    <w:p w14:paraId="63F19097">
      <w:pPr>
        <w:ind w:firstLine="645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七是坚持需求导向、创新驱动。以生态保护修复一线需求为导向，深化科研项目立项论证制度改革，自下而上汇聚亟需解决的关键技术难题，统筹中央、地方、企业和社会科技资源，协同开展技术攻关，加快技术集成与推广应用，为山水林田湖草沙系统治理提供有力支撑。</w:t>
      </w:r>
    </w:p>
    <w:p w14:paraId="4544CF7D">
      <w:pPr>
        <w:ind w:firstLine="645"/>
        <w:rPr>
          <w:rFonts w:ascii="仿宋_GB2312" w:eastAsia="仿宋_GB2312"/>
          <w:sz w:val="28"/>
          <w:szCs w:val="32"/>
        </w:rPr>
      </w:pPr>
    </w:p>
    <w:p w14:paraId="59452B85">
      <w:pPr>
        <w:ind w:firstLine="645"/>
        <w:rPr>
          <w:rFonts w:ascii="仿宋_GB2312" w:eastAsia="仿宋_GB2312"/>
          <w:sz w:val="28"/>
          <w:szCs w:val="32"/>
        </w:rPr>
      </w:pPr>
    </w:p>
    <w:p w14:paraId="4DA377A4">
      <w:pPr>
        <w:ind w:firstLine="645"/>
        <w:rPr>
          <w:rFonts w:ascii="仿宋_GB2312" w:eastAsia="仿宋_GB2312"/>
          <w:sz w:val="28"/>
          <w:szCs w:val="32"/>
        </w:rPr>
      </w:pPr>
    </w:p>
    <w:p w14:paraId="308EA11E">
      <w:pPr>
        <w:widowControl/>
        <w:jc w:val="left"/>
        <w:rPr>
          <w:rFonts w:ascii="宋体" w:hAnsi="宋体"/>
          <w:b/>
          <w:bCs/>
          <w:sz w:val="24"/>
          <w:szCs w:val="28"/>
        </w:rPr>
      </w:pPr>
      <w:r>
        <w:br w:type="page"/>
      </w:r>
    </w:p>
    <w:p w14:paraId="59421F95">
      <w:pPr>
        <w:pStyle w:val="16"/>
        <w:jc w:val="both"/>
      </w:pPr>
      <w:r>
        <w:rPr>
          <w:rFonts w:hint="eastAsia"/>
        </w:rPr>
        <w:t>附件三</w:t>
      </w:r>
    </w:p>
    <w:p w14:paraId="113012D3">
      <w:pPr>
        <w:widowControl/>
        <w:spacing w:line="640" w:lineRule="exact"/>
        <w:jc w:val="center"/>
        <w:outlineLvl w:val="0"/>
        <w:rPr>
          <w:rStyle w:val="29"/>
          <w:rFonts w:ascii="方正小标宋简体" w:hAnsi="宋体" w:eastAsia="方正小标宋简体" w:cs="宋体"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/>
          <w:bCs/>
          <w:spacing w:val="-20"/>
          <w:kern w:val="36"/>
          <w:sz w:val="40"/>
          <w:szCs w:val="44"/>
        </w:rPr>
        <w:t>北京青年政治学院第</w:t>
      </w:r>
      <w:r>
        <w:rPr>
          <w:rFonts w:hint="eastAsia" w:ascii="方正小标宋简体" w:hAnsi="微软雅黑" w:eastAsia="方正小标宋简体"/>
          <w:bCs/>
          <w:spacing w:val="-20"/>
          <w:kern w:val="36"/>
          <w:sz w:val="40"/>
          <w:szCs w:val="44"/>
          <w:lang w:val="en-US" w:eastAsia="zh-CN"/>
        </w:rPr>
        <w:t>二</w:t>
      </w:r>
      <w:r>
        <w:rPr>
          <w:rFonts w:hint="eastAsia" w:ascii="方正小标宋简体" w:hAnsi="微软雅黑" w:eastAsia="方正小标宋简体"/>
          <w:bCs/>
          <w:spacing w:val="-20"/>
          <w:kern w:val="36"/>
          <w:sz w:val="40"/>
          <w:szCs w:val="44"/>
        </w:rPr>
        <w:t>届模拟政协提案大赛</w:t>
      </w:r>
    </w:p>
    <w:p w14:paraId="51A24248">
      <w:pPr>
        <w:widowControl/>
        <w:spacing w:line="640" w:lineRule="exact"/>
        <w:jc w:val="center"/>
        <w:outlineLvl w:val="0"/>
        <w:rPr>
          <w:rStyle w:val="29"/>
          <w:rFonts w:ascii="方正小标宋简体" w:hAnsi="宋体" w:eastAsia="方正小标宋简体" w:cs="宋体"/>
          <w:snapToGrid w:val="0"/>
          <w:color w:val="000000"/>
          <w:kern w:val="0"/>
          <w:sz w:val="44"/>
        </w:rPr>
      </w:pPr>
      <w:r>
        <w:rPr>
          <w:rStyle w:val="29"/>
          <w:rFonts w:hint="eastAsia" w:ascii="方正小标宋简体" w:hAnsi="宋体" w:eastAsia="方正小标宋简体" w:cs="宋体"/>
          <w:snapToGrid w:val="0"/>
          <w:color w:val="000000"/>
          <w:kern w:val="0"/>
          <w:sz w:val="44"/>
          <w:szCs w:val="44"/>
        </w:rPr>
        <w:t>作品表</w:t>
      </w:r>
    </w:p>
    <w:p w14:paraId="58D5B55F">
      <w:pPr>
        <w:snapToGrid w:val="0"/>
        <w:spacing w:line="560" w:lineRule="exact"/>
        <w:rPr>
          <w:rFonts w:eastAsia="方正仿宋_GBK"/>
          <w:spacing w:val="4"/>
          <w:sz w:val="24"/>
        </w:rPr>
      </w:pPr>
    </w:p>
    <w:p w14:paraId="199BE8F6">
      <w:pPr>
        <w:snapToGrid w:val="0"/>
        <w:spacing w:line="560" w:lineRule="exact"/>
        <w:rPr>
          <w:rFonts w:eastAsia="方正仿宋_GBK"/>
          <w:spacing w:val="4"/>
          <w:sz w:val="32"/>
          <w:szCs w:val="32"/>
        </w:rPr>
      </w:pPr>
    </w:p>
    <w:tbl>
      <w:tblPr>
        <w:tblStyle w:val="6"/>
        <w:tblpPr w:leftFromText="180" w:rightFromText="180" w:vertAnchor="text" w:horzAnchor="page" w:tblpXSpec="center" w:tblpY="277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6003"/>
      </w:tblGrid>
      <w:tr w14:paraId="54B26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4EAFB"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  <w:r>
              <w:rPr>
                <w:rFonts w:hint="eastAsia" w:eastAsia="方正仿宋_GBK"/>
                <w:spacing w:val="4"/>
                <w:sz w:val="30"/>
                <w:szCs w:val="30"/>
              </w:rPr>
              <w:t>提案名称</w:t>
            </w:r>
            <w:r>
              <w:rPr>
                <w:rFonts w:eastAsia="方正仿宋_GBK"/>
                <w:spacing w:val="4"/>
                <w:sz w:val="30"/>
                <w:szCs w:val="30"/>
              </w:rPr>
              <w:t>：</w:t>
            </w:r>
          </w:p>
        </w:tc>
        <w:tc>
          <w:tcPr>
            <w:tcW w:w="600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F748D8"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</w:p>
        </w:tc>
      </w:tr>
      <w:tr w14:paraId="60D29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A08E3"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  <w:r>
              <w:rPr>
                <w:rFonts w:eastAsia="方正仿宋_GBK"/>
                <w:spacing w:val="157"/>
                <w:kern w:val="0"/>
                <w:sz w:val="30"/>
                <w:szCs w:val="30"/>
                <w:fitText w:val="1215" w:id="-971769088"/>
              </w:rPr>
              <w:t>提案</w:t>
            </w:r>
            <w:r>
              <w:rPr>
                <w:rFonts w:eastAsia="方正仿宋_GBK"/>
                <w:spacing w:val="1"/>
                <w:kern w:val="0"/>
                <w:sz w:val="30"/>
                <w:szCs w:val="30"/>
                <w:fitText w:val="1215" w:id="-971769088"/>
              </w:rPr>
              <w:t>人</w:t>
            </w:r>
            <w:r>
              <w:rPr>
                <w:rFonts w:eastAsia="方正仿宋_GBK"/>
                <w:spacing w:val="4"/>
                <w:sz w:val="30"/>
                <w:szCs w:val="30"/>
              </w:rPr>
              <w:t>：</w:t>
            </w:r>
          </w:p>
        </w:tc>
        <w:tc>
          <w:tcPr>
            <w:tcW w:w="60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3D3D657"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</w:p>
        </w:tc>
      </w:tr>
      <w:tr w14:paraId="70369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15AB9"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  <w:r>
              <w:rPr>
                <w:rFonts w:hint="eastAsia" w:eastAsia="方正仿宋_GBK"/>
                <w:spacing w:val="615"/>
                <w:kern w:val="0"/>
                <w:sz w:val="30"/>
                <w:szCs w:val="30"/>
                <w:fitText w:val="1215" w:id="-971769087"/>
              </w:rPr>
              <w:t>学</w:t>
            </w:r>
            <w:r>
              <w:rPr>
                <w:rFonts w:hint="eastAsia" w:eastAsia="方正仿宋_GBK"/>
                <w:spacing w:val="0"/>
                <w:kern w:val="0"/>
                <w:sz w:val="30"/>
                <w:szCs w:val="30"/>
                <w:fitText w:val="1215" w:id="-971769087"/>
              </w:rPr>
              <w:t>院</w:t>
            </w:r>
            <w:r>
              <w:rPr>
                <w:rFonts w:eastAsia="方正仿宋_GBK"/>
                <w:spacing w:val="4"/>
                <w:sz w:val="30"/>
                <w:szCs w:val="30"/>
              </w:rPr>
              <w:t>：</w:t>
            </w:r>
          </w:p>
        </w:tc>
        <w:tc>
          <w:tcPr>
            <w:tcW w:w="60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8521684"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</w:p>
        </w:tc>
      </w:tr>
      <w:tr w14:paraId="589C1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BC131"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  <w:r>
              <w:rPr>
                <w:rFonts w:eastAsia="方正仿宋_GBK"/>
                <w:spacing w:val="4"/>
                <w:sz w:val="30"/>
                <w:szCs w:val="30"/>
              </w:rPr>
              <w:t>指导老师：</w:t>
            </w:r>
          </w:p>
        </w:tc>
        <w:tc>
          <w:tcPr>
            <w:tcW w:w="60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E7F66EA">
            <w:pPr>
              <w:snapToGrid w:val="0"/>
              <w:spacing w:line="560" w:lineRule="exact"/>
              <w:jc w:val="center"/>
              <w:rPr>
                <w:rFonts w:eastAsia="方正仿宋_GBK"/>
                <w:spacing w:val="4"/>
                <w:sz w:val="30"/>
                <w:szCs w:val="30"/>
              </w:rPr>
            </w:pPr>
          </w:p>
        </w:tc>
      </w:tr>
    </w:tbl>
    <w:p w14:paraId="76554415">
      <w:pPr>
        <w:snapToGrid w:val="0"/>
        <w:spacing w:line="560" w:lineRule="exact"/>
        <w:rPr>
          <w:rFonts w:eastAsia="方正仿宋_GBK"/>
          <w:spacing w:val="4"/>
          <w:sz w:val="24"/>
        </w:rPr>
      </w:pPr>
    </w:p>
    <w:p w14:paraId="4021D064">
      <w:pPr>
        <w:widowControl/>
        <w:jc w:val="left"/>
        <w:rPr>
          <w:rFonts w:asciiTheme="minorHAnsi" w:hAnsiTheme="minorHAnsi" w:eastAsiaTheme="minorEastAsia"/>
          <w:spacing w:val="4"/>
        </w:rPr>
      </w:pPr>
      <w:r>
        <w:rPr>
          <w:spacing w:val="4"/>
        </w:rPr>
        <w:br w:type="page"/>
      </w:r>
    </w:p>
    <w:p w14:paraId="03605C1C"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题目</w:t>
      </w:r>
    </w:p>
    <w:p w14:paraId="319D8C72">
      <w:pPr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（提示：黑体，居中，小三号字。要求简短明确，不得使用疑问、反问、感叹句式，一般为“关于XXXX的提案”，字数在</w:t>
      </w:r>
      <w:r>
        <w:rPr>
          <w:rFonts w:ascii="仿宋_GB2312" w:eastAsia="仿宋_GB2312"/>
          <w:sz w:val="28"/>
          <w:szCs w:val="32"/>
        </w:rPr>
        <w:t>3</w:t>
      </w:r>
      <w:r>
        <w:rPr>
          <w:rFonts w:hint="eastAsia" w:ascii="仿宋_GB2312" w:eastAsia="仿宋_GB2312"/>
          <w:sz w:val="28"/>
          <w:szCs w:val="32"/>
        </w:rPr>
        <w:t>0字以内。）</w:t>
      </w:r>
    </w:p>
    <w:p w14:paraId="539F7B41">
      <w:pPr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提案者：</w:t>
      </w:r>
    </w:p>
    <w:p w14:paraId="484C653B">
      <w:pPr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内容：</w:t>
      </w:r>
    </w:p>
    <w:p w14:paraId="4BF657EE">
      <w:pPr>
        <w:ind w:firstLine="560" w:firstLineChars="200"/>
        <w:jc w:val="left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（提示：宋体，四号字，单倍行距。一级标题使用黑体，二级标题使用楷体。正文内容一般应包括“基本情况”、“问题及原因”、“建议”三个部分，内容清晰、有理有据、文字精炼，字数在</w:t>
      </w:r>
      <w:r>
        <w:rPr>
          <w:rFonts w:ascii="仿宋_GB2312" w:eastAsia="仿宋_GB2312"/>
          <w:sz w:val="28"/>
          <w:szCs w:val="32"/>
        </w:rPr>
        <w:t>1500</w:t>
      </w:r>
      <w:r>
        <w:rPr>
          <w:rFonts w:hint="eastAsia" w:ascii="仿宋_GB2312" w:eastAsia="仿宋_GB2312"/>
          <w:sz w:val="28"/>
          <w:szCs w:val="32"/>
        </w:rPr>
        <w:t>字左右，不得超过2000字。如有调研支撑材料，可另附。）</w:t>
      </w:r>
    </w:p>
    <w:p w14:paraId="6AF7F525">
      <w:pPr>
        <w:pStyle w:val="5"/>
        <w:snapToGrid w:val="0"/>
        <w:ind w:firstLine="0" w:firstLineChars="0"/>
        <w:rPr>
          <w:spacing w:val="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4070206"/>
      <w:docPartObj>
        <w:docPartGallery w:val="autotext"/>
      </w:docPartObj>
    </w:sdtPr>
    <w:sdtContent>
      <w:p w14:paraId="4B6131E3">
        <w:pPr>
          <w:pStyle w:val="3"/>
          <w:jc w:val="center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13</w:t>
        </w:r>
        <w:r>
          <w:rPr>
            <w:lang w:val="zh-CN"/>
          </w:rPr>
          <w:fldChar w:fldCharType="end"/>
        </w:r>
      </w:p>
    </w:sdtContent>
  </w:sdt>
  <w:p w14:paraId="6AC3B6EA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78D"/>
    <w:rsid w:val="000147E1"/>
    <w:rsid w:val="000234A2"/>
    <w:rsid w:val="000431FA"/>
    <w:rsid w:val="00051037"/>
    <w:rsid w:val="00065660"/>
    <w:rsid w:val="000A156A"/>
    <w:rsid w:val="000A5A25"/>
    <w:rsid w:val="000B0904"/>
    <w:rsid w:val="000D5129"/>
    <w:rsid w:val="000E67FA"/>
    <w:rsid w:val="000F208A"/>
    <w:rsid w:val="00104ADD"/>
    <w:rsid w:val="00121BE6"/>
    <w:rsid w:val="001360A1"/>
    <w:rsid w:val="001613FE"/>
    <w:rsid w:val="001679A7"/>
    <w:rsid w:val="001765DA"/>
    <w:rsid w:val="001775C0"/>
    <w:rsid w:val="00192C98"/>
    <w:rsid w:val="001A04E4"/>
    <w:rsid w:val="001C48F5"/>
    <w:rsid w:val="001E1C2C"/>
    <w:rsid w:val="001F5D7B"/>
    <w:rsid w:val="00225761"/>
    <w:rsid w:val="00226923"/>
    <w:rsid w:val="00296B5E"/>
    <w:rsid w:val="002A2E78"/>
    <w:rsid w:val="002B1FC7"/>
    <w:rsid w:val="002B4EAB"/>
    <w:rsid w:val="002E079F"/>
    <w:rsid w:val="002E5EC9"/>
    <w:rsid w:val="00305011"/>
    <w:rsid w:val="003056AC"/>
    <w:rsid w:val="0030584C"/>
    <w:rsid w:val="003123B9"/>
    <w:rsid w:val="00316453"/>
    <w:rsid w:val="0033434E"/>
    <w:rsid w:val="003542C0"/>
    <w:rsid w:val="003747F7"/>
    <w:rsid w:val="003821CC"/>
    <w:rsid w:val="003A56D1"/>
    <w:rsid w:val="003B08D4"/>
    <w:rsid w:val="003C0D73"/>
    <w:rsid w:val="003C20D1"/>
    <w:rsid w:val="003C55A3"/>
    <w:rsid w:val="003D5EA1"/>
    <w:rsid w:val="003F3E68"/>
    <w:rsid w:val="004118DD"/>
    <w:rsid w:val="00411CBC"/>
    <w:rsid w:val="0042228A"/>
    <w:rsid w:val="00445F72"/>
    <w:rsid w:val="00461973"/>
    <w:rsid w:val="00485F46"/>
    <w:rsid w:val="004871FB"/>
    <w:rsid w:val="004913CD"/>
    <w:rsid w:val="004C044B"/>
    <w:rsid w:val="00502775"/>
    <w:rsid w:val="005028C4"/>
    <w:rsid w:val="005056DF"/>
    <w:rsid w:val="00510E61"/>
    <w:rsid w:val="0051143C"/>
    <w:rsid w:val="005238E5"/>
    <w:rsid w:val="00556BAE"/>
    <w:rsid w:val="005709BE"/>
    <w:rsid w:val="00584170"/>
    <w:rsid w:val="00584710"/>
    <w:rsid w:val="00595B90"/>
    <w:rsid w:val="005B3906"/>
    <w:rsid w:val="005C5F40"/>
    <w:rsid w:val="005D419A"/>
    <w:rsid w:val="005E34F1"/>
    <w:rsid w:val="005F5CF5"/>
    <w:rsid w:val="0060546C"/>
    <w:rsid w:val="006234E1"/>
    <w:rsid w:val="00630644"/>
    <w:rsid w:val="00635AC5"/>
    <w:rsid w:val="0066444A"/>
    <w:rsid w:val="0066689C"/>
    <w:rsid w:val="006877A2"/>
    <w:rsid w:val="0069389C"/>
    <w:rsid w:val="00694C6C"/>
    <w:rsid w:val="0069752D"/>
    <w:rsid w:val="006A2A9B"/>
    <w:rsid w:val="006D0853"/>
    <w:rsid w:val="006E4855"/>
    <w:rsid w:val="006E6EBB"/>
    <w:rsid w:val="007056E5"/>
    <w:rsid w:val="007475D7"/>
    <w:rsid w:val="00751559"/>
    <w:rsid w:val="00772372"/>
    <w:rsid w:val="0078037D"/>
    <w:rsid w:val="007935E8"/>
    <w:rsid w:val="007B1BBB"/>
    <w:rsid w:val="007B2C66"/>
    <w:rsid w:val="007B4A52"/>
    <w:rsid w:val="007C17F5"/>
    <w:rsid w:val="007C2E4E"/>
    <w:rsid w:val="007C30FD"/>
    <w:rsid w:val="007D1515"/>
    <w:rsid w:val="007D76C6"/>
    <w:rsid w:val="007E3DB2"/>
    <w:rsid w:val="007F1739"/>
    <w:rsid w:val="008434D6"/>
    <w:rsid w:val="00864003"/>
    <w:rsid w:val="00876159"/>
    <w:rsid w:val="008A078C"/>
    <w:rsid w:val="008B1879"/>
    <w:rsid w:val="008B299C"/>
    <w:rsid w:val="008B6683"/>
    <w:rsid w:val="008B7118"/>
    <w:rsid w:val="008C12D0"/>
    <w:rsid w:val="008C449D"/>
    <w:rsid w:val="008E1272"/>
    <w:rsid w:val="00904CA6"/>
    <w:rsid w:val="00917CB1"/>
    <w:rsid w:val="00934ABC"/>
    <w:rsid w:val="00963573"/>
    <w:rsid w:val="009635B2"/>
    <w:rsid w:val="009D34B0"/>
    <w:rsid w:val="009E1F2A"/>
    <w:rsid w:val="009E20A6"/>
    <w:rsid w:val="009E2A82"/>
    <w:rsid w:val="00A24FCD"/>
    <w:rsid w:val="00A319DF"/>
    <w:rsid w:val="00A46836"/>
    <w:rsid w:val="00A523BA"/>
    <w:rsid w:val="00A94D6A"/>
    <w:rsid w:val="00AA57FA"/>
    <w:rsid w:val="00AC1DDA"/>
    <w:rsid w:val="00AC219C"/>
    <w:rsid w:val="00AC278D"/>
    <w:rsid w:val="00AD7751"/>
    <w:rsid w:val="00AF19A2"/>
    <w:rsid w:val="00AF550E"/>
    <w:rsid w:val="00B20205"/>
    <w:rsid w:val="00B37194"/>
    <w:rsid w:val="00B84FF2"/>
    <w:rsid w:val="00B903C7"/>
    <w:rsid w:val="00BA03B6"/>
    <w:rsid w:val="00C17E98"/>
    <w:rsid w:val="00C410D5"/>
    <w:rsid w:val="00C57507"/>
    <w:rsid w:val="00C724FA"/>
    <w:rsid w:val="00CA196E"/>
    <w:rsid w:val="00D00C33"/>
    <w:rsid w:val="00D27231"/>
    <w:rsid w:val="00D5080C"/>
    <w:rsid w:val="00D572C2"/>
    <w:rsid w:val="00D67A3E"/>
    <w:rsid w:val="00D87CBD"/>
    <w:rsid w:val="00D938BB"/>
    <w:rsid w:val="00DB0173"/>
    <w:rsid w:val="00DC1F32"/>
    <w:rsid w:val="00DD1E95"/>
    <w:rsid w:val="00DD4EFD"/>
    <w:rsid w:val="00DD5397"/>
    <w:rsid w:val="00DD6653"/>
    <w:rsid w:val="00DF2E94"/>
    <w:rsid w:val="00E05C23"/>
    <w:rsid w:val="00E14E1C"/>
    <w:rsid w:val="00E15E6E"/>
    <w:rsid w:val="00E16383"/>
    <w:rsid w:val="00E176F0"/>
    <w:rsid w:val="00E20970"/>
    <w:rsid w:val="00E27B66"/>
    <w:rsid w:val="00E419F2"/>
    <w:rsid w:val="00E51877"/>
    <w:rsid w:val="00E85404"/>
    <w:rsid w:val="00ED26B0"/>
    <w:rsid w:val="00ED4193"/>
    <w:rsid w:val="00F22DCD"/>
    <w:rsid w:val="00F25EDB"/>
    <w:rsid w:val="00F472E9"/>
    <w:rsid w:val="00F57B1F"/>
    <w:rsid w:val="00F57C67"/>
    <w:rsid w:val="00F66BB1"/>
    <w:rsid w:val="00F84FF1"/>
    <w:rsid w:val="00F85B74"/>
    <w:rsid w:val="00FA7D00"/>
    <w:rsid w:val="00FC41F1"/>
    <w:rsid w:val="00FC7993"/>
    <w:rsid w:val="00FD0FBF"/>
    <w:rsid w:val="00FE099C"/>
    <w:rsid w:val="00FE2CC6"/>
    <w:rsid w:val="00FE4B8C"/>
    <w:rsid w:val="02E01396"/>
    <w:rsid w:val="044C0C16"/>
    <w:rsid w:val="14CF51B4"/>
    <w:rsid w:val="20C31E08"/>
    <w:rsid w:val="21751354"/>
    <w:rsid w:val="24857B00"/>
    <w:rsid w:val="24AC118C"/>
    <w:rsid w:val="294819CE"/>
    <w:rsid w:val="2B4B4F3D"/>
    <w:rsid w:val="3DC01751"/>
    <w:rsid w:val="512F18B1"/>
    <w:rsid w:val="521C2FA3"/>
    <w:rsid w:val="64B04E86"/>
    <w:rsid w:val="663C02FA"/>
    <w:rsid w:val="67010561"/>
    <w:rsid w:val="693469CC"/>
    <w:rsid w:val="6B811C71"/>
    <w:rsid w:val="6CF546C4"/>
    <w:rsid w:val="79D062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7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link w:val="28"/>
    <w:unhideWhenUsed/>
    <w:qFormat/>
    <w:uiPriority w:val="0"/>
    <w:pPr>
      <w:ind w:firstLine="420" w:firstLineChars="100"/>
    </w:pPr>
    <w:rPr>
      <w:rFonts w:asciiTheme="minorHAnsi" w:hAnsiTheme="minorHAnsi" w:eastAsiaTheme="minorEastAsia"/>
    </w:rPr>
  </w:style>
  <w:style w:type="table" w:styleId="7">
    <w:name w:val="Table Grid"/>
    <w:basedOn w:val="6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0级标题"/>
    <w:basedOn w:val="1"/>
    <w:link w:val="11"/>
    <w:qFormat/>
    <w:uiPriority w:val="0"/>
    <w:pPr>
      <w:jc w:val="center"/>
    </w:pPr>
    <w:rPr>
      <w:rFonts w:ascii="黑体" w:hAnsi="黑体" w:eastAsia="黑体"/>
      <w:sz w:val="28"/>
      <w:szCs w:val="32"/>
    </w:rPr>
  </w:style>
  <w:style w:type="character" w:customStyle="1" w:styleId="11">
    <w:name w:val="0级标题 字符"/>
    <w:basedOn w:val="8"/>
    <w:link w:val="10"/>
    <w:qFormat/>
    <w:uiPriority w:val="0"/>
    <w:rPr>
      <w:rFonts w:ascii="黑体" w:hAnsi="黑体" w:eastAsia="黑体"/>
      <w:sz w:val="28"/>
      <w:szCs w:val="32"/>
    </w:rPr>
  </w:style>
  <w:style w:type="paragraph" w:customStyle="1" w:styleId="12">
    <w:name w:val="3级标题"/>
    <w:basedOn w:val="1"/>
    <w:link w:val="13"/>
    <w:qFormat/>
    <w:uiPriority w:val="0"/>
    <w:pPr>
      <w:spacing w:before="120" w:after="120"/>
    </w:pPr>
    <w:rPr>
      <w:rFonts w:ascii="宋体" w:hAnsi="宋体"/>
      <w:b/>
      <w:bCs/>
    </w:rPr>
  </w:style>
  <w:style w:type="character" w:customStyle="1" w:styleId="13">
    <w:name w:val="3级标题 字符"/>
    <w:basedOn w:val="8"/>
    <w:link w:val="12"/>
    <w:qFormat/>
    <w:uiPriority w:val="0"/>
    <w:rPr>
      <w:rFonts w:ascii="宋体" w:hAnsi="宋体" w:eastAsia="宋体"/>
      <w:b/>
      <w:bCs/>
      <w:szCs w:val="22"/>
    </w:rPr>
  </w:style>
  <w:style w:type="paragraph" w:customStyle="1" w:styleId="14">
    <w:name w:val="2级标题"/>
    <w:basedOn w:val="1"/>
    <w:link w:val="15"/>
    <w:qFormat/>
    <w:uiPriority w:val="0"/>
    <w:pPr>
      <w:spacing w:before="120" w:after="120"/>
    </w:pPr>
    <w:rPr>
      <w:rFonts w:ascii="楷体" w:hAnsi="楷体" w:eastAsia="楷体"/>
      <w:b/>
      <w:bCs/>
      <w:sz w:val="24"/>
      <w:szCs w:val="28"/>
    </w:rPr>
  </w:style>
  <w:style w:type="character" w:customStyle="1" w:styleId="15">
    <w:name w:val="2级标题 字符"/>
    <w:basedOn w:val="8"/>
    <w:link w:val="14"/>
    <w:qFormat/>
    <w:uiPriority w:val="0"/>
    <w:rPr>
      <w:rFonts w:ascii="楷体" w:hAnsi="楷体" w:eastAsia="楷体"/>
      <w:b/>
      <w:bCs/>
      <w:sz w:val="24"/>
      <w:szCs w:val="28"/>
    </w:rPr>
  </w:style>
  <w:style w:type="paragraph" w:customStyle="1" w:styleId="16">
    <w:name w:val="1级标题"/>
    <w:basedOn w:val="1"/>
    <w:link w:val="17"/>
    <w:qFormat/>
    <w:uiPriority w:val="0"/>
    <w:pPr>
      <w:spacing w:before="240" w:after="240"/>
      <w:jc w:val="center"/>
    </w:pPr>
    <w:rPr>
      <w:rFonts w:ascii="宋体" w:hAnsi="宋体"/>
      <w:b/>
      <w:bCs/>
      <w:sz w:val="24"/>
      <w:szCs w:val="28"/>
    </w:rPr>
  </w:style>
  <w:style w:type="character" w:customStyle="1" w:styleId="17">
    <w:name w:val="1级标题 字符"/>
    <w:basedOn w:val="8"/>
    <w:link w:val="16"/>
    <w:qFormat/>
    <w:uiPriority w:val="0"/>
    <w:rPr>
      <w:rFonts w:ascii="宋体" w:hAnsi="宋体" w:eastAsia="宋体"/>
      <w:b/>
      <w:bCs/>
      <w:sz w:val="24"/>
      <w:szCs w:val="28"/>
    </w:rPr>
  </w:style>
  <w:style w:type="paragraph" w:customStyle="1" w:styleId="18">
    <w:name w:val="注释-参考文献"/>
    <w:basedOn w:val="1"/>
    <w:link w:val="19"/>
    <w:qFormat/>
    <w:uiPriority w:val="0"/>
    <w:pPr>
      <w:jc w:val="left"/>
    </w:pPr>
    <w:rPr>
      <w:sz w:val="18"/>
      <w:szCs w:val="18"/>
    </w:rPr>
  </w:style>
  <w:style w:type="character" w:customStyle="1" w:styleId="19">
    <w:name w:val="注释-参考文献 字符"/>
    <w:basedOn w:val="8"/>
    <w:link w:val="18"/>
    <w:qFormat/>
    <w:uiPriority w:val="0"/>
    <w:rPr>
      <w:rFonts w:ascii="Times New Roman" w:hAnsi="Times New Roman" w:eastAsia="宋体"/>
      <w:sz w:val="18"/>
      <w:szCs w:val="18"/>
    </w:rPr>
  </w:style>
  <w:style w:type="paragraph" w:customStyle="1" w:styleId="20">
    <w:name w:val="作者姓名"/>
    <w:basedOn w:val="1"/>
    <w:link w:val="21"/>
    <w:qFormat/>
    <w:uiPriority w:val="0"/>
    <w:pPr>
      <w:jc w:val="center"/>
    </w:pPr>
    <w:rPr>
      <w:rFonts w:eastAsia="楷体"/>
      <w:sz w:val="24"/>
      <w:szCs w:val="28"/>
    </w:rPr>
  </w:style>
  <w:style w:type="character" w:customStyle="1" w:styleId="21">
    <w:name w:val="作者姓名 字符"/>
    <w:basedOn w:val="8"/>
    <w:link w:val="20"/>
    <w:qFormat/>
    <w:uiPriority w:val="0"/>
    <w:rPr>
      <w:rFonts w:ascii="Times New Roman" w:hAnsi="Times New Roman" w:eastAsia="楷体"/>
      <w:sz w:val="24"/>
      <w:szCs w:val="28"/>
    </w:rPr>
  </w:style>
  <w:style w:type="paragraph" w:customStyle="1" w:styleId="22">
    <w:name w:val="论文题目"/>
    <w:basedOn w:val="1"/>
    <w:link w:val="23"/>
    <w:qFormat/>
    <w:uiPriority w:val="0"/>
    <w:pPr>
      <w:jc w:val="center"/>
    </w:pPr>
    <w:rPr>
      <w:rFonts w:eastAsia="黑体"/>
      <w:sz w:val="28"/>
      <w:szCs w:val="32"/>
    </w:rPr>
  </w:style>
  <w:style w:type="character" w:customStyle="1" w:styleId="23">
    <w:name w:val="论文题目 字符"/>
    <w:basedOn w:val="8"/>
    <w:link w:val="22"/>
    <w:qFormat/>
    <w:uiPriority w:val="0"/>
    <w:rPr>
      <w:rFonts w:ascii="Times New Roman" w:hAnsi="Times New Roman" w:eastAsia="黑体"/>
      <w:sz w:val="28"/>
      <w:szCs w:val="32"/>
    </w:rPr>
  </w:style>
  <w:style w:type="character" w:customStyle="1" w:styleId="24">
    <w:name w:val="页眉 字符"/>
    <w:basedOn w:val="8"/>
    <w:link w:val="4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25">
    <w:name w:val="页脚 字符"/>
    <w:basedOn w:val="8"/>
    <w:link w:val="3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26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7">
    <w:name w:val="正文文本 字符"/>
    <w:basedOn w:val="8"/>
    <w:link w:val="2"/>
    <w:semiHidden/>
    <w:qFormat/>
    <w:uiPriority w:val="99"/>
    <w:rPr>
      <w:rFonts w:ascii="Times New Roman" w:hAnsi="Times New Roman" w:eastAsia="宋体"/>
      <w:szCs w:val="22"/>
    </w:rPr>
  </w:style>
  <w:style w:type="character" w:customStyle="1" w:styleId="28">
    <w:name w:val="正文首行缩进 字符"/>
    <w:basedOn w:val="27"/>
    <w:link w:val="5"/>
    <w:qFormat/>
    <w:uiPriority w:val="0"/>
    <w:rPr>
      <w:rFonts w:ascii="Times New Roman" w:hAnsi="Times New Roman" w:eastAsia="宋体"/>
      <w:szCs w:val="22"/>
    </w:rPr>
  </w:style>
  <w:style w:type="character" w:customStyle="1" w:styleId="29">
    <w:name w:val="NormalCharacter"/>
    <w:qFormat/>
    <w:uiPriority w:val="0"/>
    <w:rPr>
      <w:rFonts w:ascii="Calibri" w:hAnsi="Calibri" w:eastAsia="宋体"/>
      <w:kern w:val="2"/>
      <w:sz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5392</Words>
  <Characters>5586</Characters>
  <Lines>43</Lines>
  <Paragraphs>12</Paragraphs>
  <TotalTime>6</TotalTime>
  <ScaleCrop>false</ScaleCrop>
  <LinksUpToDate>false</LinksUpToDate>
  <CharactersWithSpaces>5596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2024-06-01T10:46:00Z</dcterms:created>
  <dc:creator>Grund Gesetz</dc:creator>
  <cp:lastModifiedBy>20140010</cp:lastModifiedBy>
  <dcterms:modified xsi:type="dcterms:W3CDTF">2025-06-09T01:26:14Z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eyJoZGlkIjoiZjNlMjVlZTJiYTllZGVkODhiZWQwY2EzYzgzMmI4ZTUiLCJ1c2VySWQiOiIxNjg0NzU2NTg5In0=</vt:lpwstr>
  </property>
  <property fmtid="{D5CDD505-2E9C-101B-9397-08002B2CF9AE}" pid="3" name="KSOProductBuildVer">
    <vt:lpwstr>2052-12.1.0.19770</vt:lpwstr>
  </property>
  <property fmtid="{D5CDD505-2E9C-101B-9397-08002B2CF9AE}" pid="4" name="ICV">
    <vt:lpwstr>5CC908B609AC4D2FBFD706C929DD5A44_12</vt:lpwstr>
  </property>
</Properties>
</file>