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57413">
      <w:pPr>
        <w:spacing w:line="700" w:lineRule="exact"/>
        <w:jc w:val="center"/>
        <w:rPr>
          <w:rFonts w:hint="eastAsia" w:ascii="方正小标宋简体" w:eastAsia="方正小标宋简体"/>
          <w:sz w:val="44"/>
          <w:szCs w:val="44"/>
        </w:rPr>
      </w:pPr>
      <w:r>
        <w:rPr>
          <w:rFonts w:hint="eastAsia" w:ascii="方正小标宋简体" w:eastAsia="方正小标宋简体"/>
          <w:sz w:val="44"/>
          <w:szCs w:val="44"/>
        </w:rPr>
        <w:t>北京青年政治学院</w:t>
      </w:r>
      <w:r>
        <w:rPr>
          <w:rFonts w:hint="eastAsia" w:ascii="方正小标宋简体" w:eastAsia="方正小标宋简体"/>
          <w:sz w:val="44"/>
          <w:szCs w:val="44"/>
        </w:rPr>
        <w:t>第</w:t>
      </w:r>
      <w:r>
        <w:rPr>
          <w:rFonts w:hint="eastAsia" w:ascii="方正小标宋简体" w:eastAsia="方正小标宋简体"/>
          <w:sz w:val="44"/>
          <w:szCs w:val="44"/>
          <w:lang w:val="en-US" w:eastAsia="zh-CN"/>
        </w:rPr>
        <w:t>二</w:t>
      </w:r>
      <w:r>
        <w:rPr>
          <w:rFonts w:hint="eastAsia" w:ascii="方正小标宋简体" w:eastAsia="方正小标宋简体"/>
          <w:sz w:val="44"/>
          <w:szCs w:val="44"/>
        </w:rPr>
        <w:t>届模拟政协提案大赛</w:t>
      </w:r>
    </w:p>
    <w:p w14:paraId="4F922C0F">
      <w:pPr>
        <w:spacing w:line="700" w:lineRule="exact"/>
        <w:jc w:val="center"/>
        <w:rPr>
          <w:rFonts w:hint="eastAsia" w:ascii="方正小标宋简体" w:eastAsia="方正小标宋简体"/>
          <w:sz w:val="44"/>
          <w:szCs w:val="44"/>
        </w:rPr>
      </w:pPr>
      <w:r>
        <w:rPr>
          <w:rFonts w:hint="eastAsia" w:ascii="方正小标宋简体" w:eastAsia="方正小标宋简体"/>
          <w:sz w:val="44"/>
          <w:szCs w:val="44"/>
        </w:rPr>
        <w:t>获奖作品名单公示</w:t>
      </w:r>
    </w:p>
    <w:p w14:paraId="0D8B7CF9">
      <w:pPr>
        <w:widowControl/>
        <w:spacing w:line="420" w:lineRule="atLeast"/>
        <w:rPr>
          <w:rFonts w:ascii="微软雅黑" w:hAnsi="微软雅黑" w:eastAsia="微软雅黑" w:cs="Tahoma"/>
          <w:b/>
          <w:bCs/>
          <w:color w:val="333333"/>
          <w:kern w:val="0"/>
          <w:sz w:val="24"/>
        </w:rPr>
      </w:pPr>
    </w:p>
    <w:p w14:paraId="1D8320F7">
      <w:pPr>
        <w:widowControl/>
        <w:spacing w:line="420" w:lineRule="atLeast"/>
        <w:ind w:firstLine="640" w:firstLineChars="200"/>
        <w:rPr>
          <w:rFonts w:ascii="仿宋_GB2312" w:eastAsia="仿宋_GB2312"/>
          <w:sz w:val="32"/>
          <w:szCs w:val="32"/>
        </w:rPr>
      </w:pPr>
      <w:r>
        <w:rPr>
          <w:rFonts w:hint="eastAsia" w:ascii="仿宋_GB2312" w:eastAsia="仿宋_GB2312"/>
          <w:sz w:val="32"/>
          <w:szCs w:val="32"/>
        </w:rPr>
        <w:t>根据《关于举办北京青年政治学院第</w:t>
      </w:r>
      <w:r>
        <w:rPr>
          <w:rFonts w:hint="eastAsia" w:ascii="仿宋_GB2312" w:eastAsia="仿宋_GB2312"/>
          <w:sz w:val="32"/>
          <w:szCs w:val="32"/>
          <w:lang w:val="en-US" w:eastAsia="zh-CN"/>
        </w:rPr>
        <w:t>二</w:t>
      </w:r>
      <w:r>
        <w:rPr>
          <w:rFonts w:hint="eastAsia" w:ascii="仿宋_GB2312" w:eastAsia="仿宋_GB2312"/>
          <w:sz w:val="32"/>
          <w:szCs w:val="32"/>
        </w:rPr>
        <w:t>届模拟政协提案大赛的通知》要求，校团委面向全校征集优秀作品</w:t>
      </w:r>
      <w:r>
        <w:rPr>
          <w:rFonts w:ascii="仿宋_GB2312" w:eastAsia="仿宋_GB2312"/>
          <w:sz w:val="32"/>
          <w:szCs w:val="32"/>
        </w:rPr>
        <w:t>。</w:t>
      </w:r>
      <w:r>
        <w:rPr>
          <w:rFonts w:hint="eastAsia" w:ascii="仿宋_GB2312" w:eastAsia="仿宋_GB2312"/>
          <w:sz w:val="32"/>
          <w:szCs w:val="32"/>
        </w:rPr>
        <w:t>经初赛和校赛评审后，最终获奖名单如下：</w:t>
      </w:r>
    </w:p>
    <w:tbl>
      <w:tblPr>
        <w:tblStyle w:val="9"/>
        <w:tblW w:w="8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4685"/>
        <w:gridCol w:w="2982"/>
      </w:tblGrid>
      <w:tr w14:paraId="75E9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130" w:type="dxa"/>
            <w:vAlign w:val="center"/>
          </w:tcPr>
          <w:p w14:paraId="04699993">
            <w:pPr>
              <w:widowControl/>
              <w:jc w:val="center"/>
              <w:rPr>
                <w:rFonts w:ascii="仿宋" w:hAnsi="仿宋" w:eastAsia="仿宋"/>
                <w:b/>
                <w:szCs w:val="21"/>
              </w:rPr>
            </w:pPr>
            <w:r>
              <w:rPr>
                <w:rFonts w:hint="eastAsia" w:ascii="仿宋" w:hAnsi="仿宋" w:eastAsia="仿宋"/>
                <w:b/>
                <w:szCs w:val="21"/>
              </w:rPr>
              <w:t>奖项设置</w:t>
            </w:r>
          </w:p>
        </w:tc>
        <w:tc>
          <w:tcPr>
            <w:tcW w:w="4685" w:type="dxa"/>
            <w:vAlign w:val="center"/>
          </w:tcPr>
          <w:p w14:paraId="12B762A8">
            <w:pPr>
              <w:widowControl/>
              <w:jc w:val="center"/>
              <w:rPr>
                <w:rFonts w:ascii="仿宋" w:hAnsi="仿宋" w:eastAsia="仿宋"/>
                <w:b/>
                <w:szCs w:val="21"/>
              </w:rPr>
            </w:pPr>
            <w:r>
              <w:rPr>
                <w:rFonts w:hint="eastAsia" w:ascii="仿宋" w:hAnsi="仿宋" w:eastAsia="仿宋"/>
                <w:b/>
                <w:szCs w:val="21"/>
              </w:rPr>
              <w:t>提案名称</w:t>
            </w:r>
          </w:p>
        </w:tc>
        <w:tc>
          <w:tcPr>
            <w:tcW w:w="2982" w:type="dxa"/>
            <w:vAlign w:val="center"/>
          </w:tcPr>
          <w:p w14:paraId="3C300BD6">
            <w:pPr>
              <w:widowControl/>
              <w:jc w:val="center"/>
              <w:rPr>
                <w:rFonts w:hint="eastAsia" w:ascii="仿宋" w:hAnsi="仿宋" w:eastAsia="仿宋"/>
                <w:b/>
                <w:szCs w:val="21"/>
              </w:rPr>
            </w:pPr>
            <w:r>
              <w:rPr>
                <w:rFonts w:hint="eastAsia" w:ascii="仿宋" w:hAnsi="仿宋" w:eastAsia="仿宋"/>
                <w:b/>
                <w:szCs w:val="21"/>
              </w:rPr>
              <w:t>获奖团队</w:t>
            </w:r>
          </w:p>
        </w:tc>
      </w:tr>
      <w:tr w14:paraId="53AD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130" w:type="dxa"/>
            <w:vMerge w:val="restart"/>
            <w:vAlign w:val="center"/>
          </w:tcPr>
          <w:p w14:paraId="46A418FA">
            <w:pPr>
              <w:ind w:left="113" w:right="113"/>
              <w:jc w:val="center"/>
              <w:rPr>
                <w:rFonts w:ascii="仿宋" w:hAnsi="仿宋" w:eastAsia="仿宋"/>
                <w:szCs w:val="21"/>
              </w:rPr>
            </w:pPr>
            <w:r>
              <w:rPr>
                <w:rFonts w:hint="eastAsia" w:ascii="仿宋" w:hAnsi="仿宋" w:eastAsia="仿宋"/>
                <w:szCs w:val="21"/>
              </w:rPr>
              <w:t>一等奖</w:t>
            </w:r>
          </w:p>
        </w:tc>
        <w:tc>
          <w:tcPr>
            <w:tcW w:w="4685" w:type="dxa"/>
            <w:vAlign w:val="center"/>
          </w:tcPr>
          <w:p w14:paraId="34BD51D9">
            <w:pPr>
              <w:jc w:val="left"/>
              <w:rPr>
                <w:rFonts w:hint="eastAsia" w:ascii="仿宋" w:hAnsi="仿宋" w:eastAsia="仿宋"/>
                <w:szCs w:val="21"/>
              </w:rPr>
            </w:pPr>
            <w:r>
              <w:rPr>
                <w:rFonts w:hint="eastAsia" w:ascii="仿宋" w:hAnsi="仿宋" w:eastAsia="仿宋"/>
                <w:szCs w:val="21"/>
              </w:rPr>
              <w:t>以高品质戏剧文化助力国际消费中心城市主承载区建设</w:t>
            </w:r>
          </w:p>
        </w:tc>
        <w:tc>
          <w:tcPr>
            <w:tcW w:w="2982" w:type="dxa"/>
            <w:vAlign w:val="center"/>
          </w:tcPr>
          <w:p w14:paraId="7AADF336">
            <w:pPr>
              <w:jc w:val="center"/>
              <w:rPr>
                <w:rFonts w:hint="eastAsia" w:ascii="仿宋" w:hAnsi="仿宋" w:eastAsia="仿宋"/>
                <w:szCs w:val="21"/>
              </w:rPr>
            </w:pPr>
            <w:r>
              <w:rPr>
                <w:rFonts w:hint="eastAsia" w:ascii="仿宋" w:hAnsi="仿宋" w:eastAsia="仿宋"/>
                <w:szCs w:val="21"/>
              </w:rPr>
              <w:t>白际暄、刘奕彤、王雨彤、邓传耀</w:t>
            </w:r>
          </w:p>
        </w:tc>
      </w:tr>
      <w:tr w14:paraId="43DF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130" w:type="dxa"/>
            <w:vMerge w:val="continue"/>
            <w:vAlign w:val="center"/>
          </w:tcPr>
          <w:p w14:paraId="783AAEC5">
            <w:pPr>
              <w:ind w:left="113" w:right="113"/>
              <w:jc w:val="center"/>
              <w:rPr>
                <w:rFonts w:ascii="仿宋" w:hAnsi="仿宋" w:eastAsia="仿宋"/>
                <w:szCs w:val="21"/>
              </w:rPr>
            </w:pPr>
          </w:p>
        </w:tc>
        <w:tc>
          <w:tcPr>
            <w:tcW w:w="4685" w:type="dxa"/>
            <w:vAlign w:val="center"/>
          </w:tcPr>
          <w:p w14:paraId="0DA89DE4">
            <w:pPr>
              <w:jc w:val="left"/>
              <w:rPr>
                <w:rFonts w:ascii="仿宋" w:hAnsi="仿宋" w:eastAsia="仿宋"/>
                <w:szCs w:val="21"/>
              </w:rPr>
            </w:pPr>
            <w:r>
              <w:rPr>
                <w:rFonts w:hint="eastAsia" w:ascii="仿宋" w:hAnsi="仿宋" w:eastAsia="仿宋"/>
                <w:szCs w:val="21"/>
              </w:rPr>
              <w:t>关于缩小北京城乡科技教育差距，推进青少年科学素养均衡发展的提案</w:t>
            </w:r>
          </w:p>
        </w:tc>
        <w:tc>
          <w:tcPr>
            <w:tcW w:w="2982" w:type="dxa"/>
            <w:vAlign w:val="center"/>
          </w:tcPr>
          <w:p w14:paraId="52824974">
            <w:pPr>
              <w:jc w:val="center"/>
              <w:rPr>
                <w:rFonts w:ascii="仿宋" w:hAnsi="仿宋" w:eastAsia="仿宋"/>
                <w:szCs w:val="21"/>
              </w:rPr>
            </w:pPr>
            <w:r>
              <w:rPr>
                <w:rFonts w:hint="eastAsia" w:ascii="仿宋" w:hAnsi="仿宋" w:eastAsia="仿宋"/>
                <w:szCs w:val="21"/>
              </w:rPr>
              <w:t>韩欣颖、葛浩妹、龚泽勤</w:t>
            </w:r>
          </w:p>
        </w:tc>
      </w:tr>
      <w:tr w14:paraId="70F2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130" w:type="dxa"/>
            <w:vMerge w:val="restart"/>
            <w:vAlign w:val="center"/>
          </w:tcPr>
          <w:p w14:paraId="0FFB5F19">
            <w:pPr>
              <w:ind w:left="113" w:right="113"/>
              <w:jc w:val="center"/>
              <w:rPr>
                <w:rFonts w:ascii="仿宋" w:hAnsi="仿宋" w:eastAsia="仿宋"/>
                <w:szCs w:val="21"/>
              </w:rPr>
            </w:pPr>
            <w:r>
              <w:rPr>
                <w:rFonts w:hint="eastAsia" w:ascii="仿宋" w:hAnsi="仿宋" w:eastAsia="仿宋"/>
                <w:szCs w:val="21"/>
              </w:rPr>
              <w:t>二等奖</w:t>
            </w:r>
          </w:p>
        </w:tc>
        <w:tc>
          <w:tcPr>
            <w:tcW w:w="4685" w:type="dxa"/>
            <w:tcBorders>
              <w:top w:val="single" w:color="auto" w:sz="4" w:space="0"/>
              <w:left w:val="single" w:color="auto" w:sz="4" w:space="0"/>
              <w:bottom w:val="single" w:color="auto" w:sz="4" w:space="0"/>
              <w:right w:val="single" w:color="auto" w:sz="4" w:space="0"/>
            </w:tcBorders>
            <w:shd w:val="clear" w:color="auto" w:fill="auto"/>
            <w:vAlign w:val="center"/>
          </w:tcPr>
          <w:p w14:paraId="297697D2">
            <w:pPr>
              <w:jc w:val="left"/>
              <w:rPr>
                <w:rFonts w:hint="eastAsia" w:ascii="仿宋" w:hAnsi="仿宋" w:eastAsia="仿宋"/>
                <w:szCs w:val="21"/>
              </w:rPr>
            </w:pPr>
            <w:r>
              <w:rPr>
                <w:rFonts w:hint="eastAsia" w:ascii="仿宋" w:hAnsi="仿宋" w:eastAsia="仿宋"/>
                <w:szCs w:val="21"/>
              </w:rPr>
              <w:t>关于推进社区卫生服务中心医养结合标准化建设的提案</w:t>
            </w:r>
          </w:p>
        </w:tc>
        <w:tc>
          <w:tcPr>
            <w:tcW w:w="2982" w:type="dxa"/>
            <w:tcBorders>
              <w:top w:val="single" w:color="auto" w:sz="4" w:space="0"/>
              <w:left w:val="single" w:color="auto" w:sz="4" w:space="0"/>
              <w:bottom w:val="single" w:color="auto" w:sz="4" w:space="0"/>
              <w:right w:val="single" w:color="auto" w:sz="4" w:space="0"/>
            </w:tcBorders>
            <w:shd w:val="clear" w:color="auto" w:fill="auto"/>
            <w:vAlign w:val="center"/>
          </w:tcPr>
          <w:p w14:paraId="377A9353">
            <w:pPr>
              <w:jc w:val="center"/>
              <w:rPr>
                <w:rFonts w:hint="eastAsia" w:ascii="仿宋" w:hAnsi="仿宋" w:eastAsia="仿宋"/>
                <w:szCs w:val="21"/>
              </w:rPr>
            </w:pPr>
            <w:r>
              <w:rPr>
                <w:rFonts w:hint="eastAsia" w:ascii="仿宋" w:hAnsi="仿宋" w:eastAsia="仿宋"/>
                <w:szCs w:val="21"/>
              </w:rPr>
              <w:t>周世隆、马鑫蕊、蒲烁</w:t>
            </w:r>
          </w:p>
        </w:tc>
      </w:tr>
      <w:tr w14:paraId="1815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130" w:type="dxa"/>
            <w:vMerge w:val="continue"/>
            <w:vAlign w:val="center"/>
          </w:tcPr>
          <w:p w14:paraId="596680D5">
            <w:pPr>
              <w:widowControl/>
              <w:jc w:val="center"/>
              <w:rPr>
                <w:rFonts w:ascii="仿宋" w:hAnsi="仿宋" w:eastAsia="仿宋"/>
                <w:szCs w:val="21"/>
              </w:rPr>
            </w:pPr>
          </w:p>
        </w:tc>
        <w:tc>
          <w:tcPr>
            <w:tcW w:w="4685" w:type="dxa"/>
            <w:tcBorders>
              <w:top w:val="nil"/>
              <w:left w:val="single" w:color="auto" w:sz="4" w:space="0"/>
              <w:bottom w:val="single" w:color="auto" w:sz="4" w:space="0"/>
              <w:right w:val="single" w:color="auto" w:sz="4" w:space="0"/>
            </w:tcBorders>
            <w:shd w:val="clear" w:color="auto" w:fill="auto"/>
            <w:vAlign w:val="center"/>
          </w:tcPr>
          <w:p w14:paraId="21F9CDD3">
            <w:pPr>
              <w:jc w:val="left"/>
              <w:rPr>
                <w:rFonts w:ascii="仿宋" w:hAnsi="仿宋" w:eastAsia="仿宋"/>
                <w:szCs w:val="21"/>
              </w:rPr>
            </w:pPr>
            <w:r>
              <w:rPr>
                <w:rFonts w:hint="eastAsia" w:ascii="仿宋" w:hAnsi="仿宋" w:eastAsia="仿宋"/>
                <w:szCs w:val="21"/>
                <w:lang w:val="en-US" w:eastAsia="zh-CN"/>
              </w:rPr>
              <w:t>关于构建赛事体系，持续推动首都全民健身和体育产业发展的提案</w:t>
            </w:r>
          </w:p>
        </w:tc>
        <w:tc>
          <w:tcPr>
            <w:tcW w:w="2982" w:type="dxa"/>
            <w:tcBorders>
              <w:top w:val="nil"/>
              <w:left w:val="single" w:color="auto" w:sz="4" w:space="0"/>
              <w:bottom w:val="single" w:color="auto" w:sz="4" w:space="0"/>
              <w:right w:val="single" w:color="auto" w:sz="4" w:space="0"/>
            </w:tcBorders>
            <w:shd w:val="clear" w:color="auto" w:fill="auto"/>
            <w:vAlign w:val="center"/>
          </w:tcPr>
          <w:p w14:paraId="1C7999EE">
            <w:pPr>
              <w:jc w:val="center"/>
              <w:rPr>
                <w:rFonts w:ascii="仿宋" w:hAnsi="仿宋" w:eastAsia="仿宋"/>
                <w:szCs w:val="21"/>
              </w:rPr>
            </w:pPr>
            <w:r>
              <w:rPr>
                <w:rFonts w:hint="eastAsia" w:ascii="仿宋" w:hAnsi="仿宋" w:eastAsia="仿宋"/>
                <w:szCs w:val="21"/>
              </w:rPr>
              <w:t>朱怡欣、王秀娟、杜宇佳、谈自强、王佳浩</w:t>
            </w:r>
          </w:p>
        </w:tc>
      </w:tr>
      <w:tr w14:paraId="2DA7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130" w:type="dxa"/>
            <w:vMerge w:val="continue"/>
            <w:vAlign w:val="center"/>
          </w:tcPr>
          <w:p w14:paraId="15BAA3FF">
            <w:pPr>
              <w:widowControl/>
              <w:jc w:val="center"/>
              <w:rPr>
                <w:rFonts w:ascii="仿宋" w:hAnsi="仿宋" w:eastAsia="仿宋"/>
                <w:szCs w:val="21"/>
              </w:rPr>
            </w:pPr>
          </w:p>
        </w:tc>
        <w:tc>
          <w:tcPr>
            <w:tcW w:w="4685" w:type="dxa"/>
            <w:tcBorders>
              <w:top w:val="nil"/>
              <w:left w:val="single" w:color="auto" w:sz="4" w:space="0"/>
              <w:bottom w:val="single" w:color="auto" w:sz="4" w:space="0"/>
              <w:right w:val="single" w:color="auto" w:sz="4" w:space="0"/>
            </w:tcBorders>
            <w:shd w:val="clear" w:color="auto" w:fill="auto"/>
            <w:vAlign w:val="center"/>
          </w:tcPr>
          <w:p w14:paraId="4E651D94">
            <w:pPr>
              <w:widowControl/>
              <w:jc w:val="left"/>
              <w:rPr>
                <w:rFonts w:ascii="仿宋" w:hAnsi="仿宋" w:eastAsia="仿宋"/>
                <w:color w:val="000000"/>
                <w:kern w:val="0"/>
                <w:szCs w:val="21"/>
              </w:rPr>
            </w:pPr>
            <w:r>
              <w:rPr>
                <w:rFonts w:hint="eastAsia" w:ascii="仿宋" w:hAnsi="仿宋" w:eastAsia="仿宋"/>
                <w:color w:val="000000"/>
                <w:szCs w:val="21"/>
              </w:rPr>
              <w:t>关于推进青少年科学教育，提升学生科学素养的提案</w:t>
            </w:r>
          </w:p>
        </w:tc>
        <w:tc>
          <w:tcPr>
            <w:tcW w:w="2982" w:type="dxa"/>
            <w:tcBorders>
              <w:top w:val="nil"/>
              <w:left w:val="single" w:color="auto" w:sz="4" w:space="0"/>
              <w:bottom w:val="single" w:color="auto" w:sz="4" w:space="0"/>
              <w:right w:val="single" w:color="auto" w:sz="4" w:space="0"/>
            </w:tcBorders>
            <w:shd w:val="clear" w:color="auto" w:fill="auto"/>
            <w:vAlign w:val="center"/>
          </w:tcPr>
          <w:p w14:paraId="719EE574">
            <w:pPr>
              <w:jc w:val="center"/>
              <w:rPr>
                <w:rFonts w:hint="eastAsia" w:ascii="仿宋" w:hAnsi="仿宋" w:eastAsia="仿宋"/>
                <w:color w:val="000000"/>
                <w:szCs w:val="21"/>
              </w:rPr>
            </w:pPr>
            <w:r>
              <w:rPr>
                <w:rFonts w:hint="eastAsia" w:ascii="仿宋" w:hAnsi="仿宋" w:eastAsia="仿宋"/>
                <w:color w:val="000000"/>
                <w:szCs w:val="21"/>
              </w:rPr>
              <w:t>高帅、张子心、王森</w:t>
            </w:r>
          </w:p>
        </w:tc>
      </w:tr>
      <w:tr w14:paraId="7F30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30" w:type="dxa"/>
            <w:vMerge w:val="continue"/>
            <w:vAlign w:val="center"/>
          </w:tcPr>
          <w:p w14:paraId="5671878A">
            <w:pPr>
              <w:widowControl/>
              <w:jc w:val="center"/>
              <w:rPr>
                <w:rFonts w:ascii="仿宋" w:hAnsi="仿宋" w:eastAsia="仿宋"/>
                <w:szCs w:val="21"/>
              </w:rPr>
            </w:pPr>
          </w:p>
        </w:tc>
        <w:tc>
          <w:tcPr>
            <w:tcW w:w="4685" w:type="dxa"/>
            <w:tcBorders>
              <w:top w:val="nil"/>
              <w:left w:val="single" w:color="auto" w:sz="4" w:space="0"/>
              <w:bottom w:val="single" w:color="auto" w:sz="4" w:space="0"/>
              <w:right w:val="single" w:color="auto" w:sz="4" w:space="0"/>
            </w:tcBorders>
            <w:shd w:val="clear" w:color="auto" w:fill="auto"/>
            <w:vAlign w:val="center"/>
          </w:tcPr>
          <w:p w14:paraId="5018F5B5">
            <w:pPr>
              <w:jc w:val="left"/>
              <w:rPr>
                <w:rFonts w:hint="eastAsia" w:ascii="仿宋" w:hAnsi="仿宋" w:eastAsia="仿宋"/>
                <w:color w:val="000000"/>
                <w:szCs w:val="21"/>
              </w:rPr>
            </w:pPr>
            <w:r>
              <w:rPr>
                <w:rFonts w:hint="eastAsia" w:ascii="仿宋" w:hAnsi="仿宋" w:eastAsia="仿宋"/>
                <w:color w:val="000000"/>
                <w:szCs w:val="21"/>
              </w:rPr>
              <w:t>关于强化青少年科学教育，全面提升学生科学素养的提案</w:t>
            </w:r>
          </w:p>
        </w:tc>
        <w:tc>
          <w:tcPr>
            <w:tcW w:w="2982" w:type="dxa"/>
            <w:tcBorders>
              <w:top w:val="nil"/>
              <w:left w:val="single" w:color="auto" w:sz="4" w:space="0"/>
              <w:bottom w:val="single" w:color="auto" w:sz="4" w:space="0"/>
              <w:right w:val="single" w:color="auto" w:sz="4" w:space="0"/>
            </w:tcBorders>
            <w:shd w:val="clear" w:color="auto" w:fill="auto"/>
            <w:vAlign w:val="center"/>
          </w:tcPr>
          <w:p w14:paraId="27048F78">
            <w:pPr>
              <w:jc w:val="center"/>
              <w:rPr>
                <w:rFonts w:hint="eastAsia" w:ascii="仿宋" w:hAnsi="仿宋" w:eastAsia="仿宋"/>
                <w:color w:val="000000"/>
                <w:szCs w:val="21"/>
              </w:rPr>
            </w:pPr>
            <w:r>
              <w:rPr>
                <w:rFonts w:hint="eastAsia" w:ascii="仿宋" w:hAnsi="仿宋" w:eastAsia="仿宋"/>
                <w:color w:val="000000"/>
                <w:szCs w:val="21"/>
              </w:rPr>
              <w:t>胡梦娇、成雨萱、陈圣鑫、王子涵</w:t>
            </w:r>
          </w:p>
        </w:tc>
      </w:tr>
      <w:tr w14:paraId="1A49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130" w:type="dxa"/>
            <w:vMerge w:val="restart"/>
            <w:vAlign w:val="center"/>
          </w:tcPr>
          <w:p w14:paraId="65087EB1">
            <w:pPr>
              <w:ind w:left="113" w:right="113"/>
              <w:jc w:val="center"/>
              <w:rPr>
                <w:rFonts w:ascii="仿宋" w:hAnsi="仿宋" w:eastAsia="仿宋"/>
                <w:szCs w:val="21"/>
              </w:rPr>
            </w:pPr>
            <w:r>
              <w:rPr>
                <w:rFonts w:hint="eastAsia" w:ascii="仿宋" w:hAnsi="仿宋" w:eastAsia="仿宋"/>
                <w:szCs w:val="21"/>
              </w:rPr>
              <w:t>三等奖</w:t>
            </w:r>
          </w:p>
        </w:tc>
        <w:tc>
          <w:tcPr>
            <w:tcW w:w="4685" w:type="dxa"/>
            <w:tcBorders>
              <w:top w:val="nil"/>
              <w:left w:val="single" w:color="auto" w:sz="4" w:space="0"/>
              <w:bottom w:val="single" w:color="auto" w:sz="4" w:space="0"/>
              <w:right w:val="single" w:color="auto" w:sz="4" w:space="0"/>
            </w:tcBorders>
            <w:shd w:val="clear" w:color="auto" w:fill="auto"/>
            <w:vAlign w:val="center"/>
          </w:tcPr>
          <w:p w14:paraId="79CA1D8C">
            <w:pPr>
              <w:widowControl/>
              <w:jc w:val="left"/>
              <w:rPr>
                <w:rFonts w:ascii="仿宋" w:hAnsi="仿宋" w:eastAsia="仿宋"/>
                <w:color w:val="000000"/>
                <w:kern w:val="0"/>
                <w:szCs w:val="21"/>
              </w:rPr>
            </w:pPr>
            <w:r>
              <w:rPr>
                <w:rFonts w:hint="eastAsia" w:ascii="仿宋" w:hAnsi="仿宋" w:eastAsia="仿宋"/>
                <w:color w:val="000000"/>
                <w:szCs w:val="21"/>
              </w:rPr>
              <w:t>关于加快推进国际消费中心城市建设的提案</w:t>
            </w:r>
          </w:p>
        </w:tc>
        <w:tc>
          <w:tcPr>
            <w:tcW w:w="2982" w:type="dxa"/>
            <w:tcBorders>
              <w:top w:val="nil"/>
              <w:left w:val="single" w:color="auto" w:sz="4" w:space="0"/>
              <w:bottom w:val="single" w:color="auto" w:sz="4" w:space="0"/>
              <w:right w:val="single" w:color="auto" w:sz="4" w:space="0"/>
            </w:tcBorders>
            <w:shd w:val="clear" w:color="auto" w:fill="auto"/>
            <w:vAlign w:val="center"/>
          </w:tcPr>
          <w:p w14:paraId="4B6B1FDB">
            <w:pPr>
              <w:jc w:val="center"/>
              <w:rPr>
                <w:rFonts w:hint="eastAsia" w:ascii="仿宋" w:hAnsi="仿宋" w:eastAsia="仿宋"/>
                <w:color w:val="000000"/>
                <w:szCs w:val="21"/>
              </w:rPr>
            </w:pPr>
            <w:r>
              <w:rPr>
                <w:rFonts w:hint="eastAsia" w:ascii="仿宋" w:hAnsi="仿宋" w:eastAsia="仿宋"/>
                <w:color w:val="000000"/>
                <w:szCs w:val="21"/>
              </w:rPr>
              <w:t>王冠琳、郑婷怡、董媛媛</w:t>
            </w:r>
          </w:p>
        </w:tc>
      </w:tr>
      <w:tr w14:paraId="00DD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130" w:type="dxa"/>
            <w:vMerge w:val="continue"/>
            <w:textDirection w:val="tbRlV"/>
            <w:vAlign w:val="center"/>
          </w:tcPr>
          <w:p w14:paraId="6CA0E437">
            <w:pPr>
              <w:widowControl/>
              <w:ind w:left="113" w:right="113"/>
              <w:jc w:val="center"/>
              <w:rPr>
                <w:rFonts w:ascii="仿宋" w:hAnsi="仿宋" w:eastAsia="仿宋"/>
                <w:szCs w:val="21"/>
              </w:rPr>
            </w:pPr>
          </w:p>
        </w:tc>
        <w:tc>
          <w:tcPr>
            <w:tcW w:w="4685" w:type="dxa"/>
            <w:tcBorders>
              <w:top w:val="single" w:color="auto" w:sz="4" w:space="0"/>
              <w:left w:val="single" w:color="auto" w:sz="4" w:space="0"/>
              <w:bottom w:val="single" w:color="auto" w:sz="4" w:space="0"/>
              <w:right w:val="single" w:color="auto" w:sz="4" w:space="0"/>
            </w:tcBorders>
            <w:shd w:val="clear" w:color="auto" w:fill="auto"/>
            <w:vAlign w:val="center"/>
          </w:tcPr>
          <w:p w14:paraId="5DF1E9B8">
            <w:pPr>
              <w:jc w:val="left"/>
              <w:rPr>
                <w:rFonts w:hint="eastAsia" w:ascii="仿宋" w:hAnsi="仿宋" w:eastAsia="仿宋"/>
                <w:color w:val="000000"/>
                <w:szCs w:val="21"/>
              </w:rPr>
            </w:pPr>
            <w:r>
              <w:rPr>
                <w:rFonts w:hint="eastAsia" w:ascii="仿宋" w:hAnsi="仿宋" w:eastAsia="仿宋"/>
                <w:color w:val="000000"/>
                <w:szCs w:val="21"/>
              </w:rPr>
              <w:t>关于扩大北京市朝阳区城市立体绿量的提案</w:t>
            </w:r>
          </w:p>
        </w:tc>
        <w:tc>
          <w:tcPr>
            <w:tcW w:w="2982" w:type="dxa"/>
            <w:tcBorders>
              <w:top w:val="single" w:color="auto" w:sz="4" w:space="0"/>
              <w:left w:val="single" w:color="auto" w:sz="4" w:space="0"/>
              <w:bottom w:val="single" w:color="auto" w:sz="4" w:space="0"/>
              <w:right w:val="single" w:color="auto" w:sz="4" w:space="0"/>
            </w:tcBorders>
            <w:shd w:val="clear" w:color="auto" w:fill="auto"/>
            <w:vAlign w:val="center"/>
          </w:tcPr>
          <w:p w14:paraId="50FCD15A">
            <w:pPr>
              <w:jc w:val="center"/>
              <w:rPr>
                <w:rFonts w:hint="eastAsia" w:ascii="仿宋" w:hAnsi="仿宋" w:eastAsia="仿宋"/>
                <w:color w:val="000000"/>
                <w:szCs w:val="21"/>
              </w:rPr>
            </w:pPr>
            <w:r>
              <w:rPr>
                <w:rFonts w:hint="eastAsia" w:ascii="仿宋" w:hAnsi="仿宋" w:eastAsia="仿宋"/>
                <w:color w:val="000000"/>
                <w:szCs w:val="21"/>
              </w:rPr>
              <w:t>刘宇童、朱培源、张潞、王莹、吴楠</w:t>
            </w:r>
          </w:p>
        </w:tc>
      </w:tr>
      <w:tr w14:paraId="34B5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30" w:type="dxa"/>
            <w:vMerge w:val="continue"/>
            <w:vAlign w:val="center"/>
          </w:tcPr>
          <w:p w14:paraId="3311D92D">
            <w:pPr>
              <w:widowControl/>
              <w:jc w:val="center"/>
              <w:rPr>
                <w:rFonts w:ascii="仿宋" w:hAnsi="仿宋" w:eastAsia="仿宋"/>
                <w:szCs w:val="21"/>
              </w:rPr>
            </w:pPr>
          </w:p>
        </w:tc>
        <w:tc>
          <w:tcPr>
            <w:tcW w:w="4685" w:type="dxa"/>
            <w:tcBorders>
              <w:top w:val="nil"/>
              <w:left w:val="single" w:color="auto" w:sz="4" w:space="0"/>
              <w:bottom w:val="single" w:color="auto" w:sz="4" w:space="0"/>
              <w:right w:val="single" w:color="auto" w:sz="4" w:space="0"/>
            </w:tcBorders>
            <w:shd w:val="clear" w:color="auto" w:fill="auto"/>
            <w:vAlign w:val="center"/>
          </w:tcPr>
          <w:p w14:paraId="0D4EF0FF">
            <w:pPr>
              <w:jc w:val="left"/>
              <w:rPr>
                <w:rFonts w:hint="eastAsia" w:ascii="仿宋" w:hAnsi="仿宋" w:eastAsia="仿宋"/>
                <w:color w:val="000000"/>
                <w:szCs w:val="21"/>
              </w:rPr>
            </w:pPr>
            <w:r>
              <w:rPr>
                <w:rFonts w:hint="eastAsia" w:ascii="仿宋" w:hAnsi="仿宋" w:eastAsia="仿宋"/>
                <w:color w:val="000000"/>
                <w:szCs w:val="21"/>
              </w:rPr>
              <w:t>关于推进社区卫生服务中心标准化建设及医养康养结合向社区居家延伸的提案</w:t>
            </w:r>
          </w:p>
        </w:tc>
        <w:tc>
          <w:tcPr>
            <w:tcW w:w="2982" w:type="dxa"/>
            <w:tcBorders>
              <w:top w:val="nil"/>
              <w:left w:val="single" w:color="auto" w:sz="4" w:space="0"/>
              <w:bottom w:val="single" w:color="auto" w:sz="4" w:space="0"/>
              <w:right w:val="single" w:color="auto" w:sz="4" w:space="0"/>
            </w:tcBorders>
            <w:shd w:val="clear" w:color="auto" w:fill="auto"/>
            <w:vAlign w:val="center"/>
          </w:tcPr>
          <w:p w14:paraId="200404C1">
            <w:pPr>
              <w:jc w:val="center"/>
              <w:rPr>
                <w:rFonts w:hint="eastAsia" w:ascii="仿宋" w:hAnsi="仿宋" w:eastAsia="仿宋"/>
                <w:color w:val="000000"/>
                <w:szCs w:val="21"/>
              </w:rPr>
            </w:pPr>
            <w:r>
              <w:rPr>
                <w:rFonts w:hint="eastAsia" w:ascii="仿宋" w:hAnsi="仿宋" w:eastAsia="仿宋"/>
                <w:color w:val="000000"/>
                <w:szCs w:val="21"/>
              </w:rPr>
              <w:t>睢泽、杨梦涵、张雨晨、赵晨晨</w:t>
            </w:r>
          </w:p>
        </w:tc>
      </w:tr>
      <w:tr w14:paraId="42DA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30" w:type="dxa"/>
            <w:vMerge w:val="continue"/>
            <w:vAlign w:val="center"/>
          </w:tcPr>
          <w:p w14:paraId="5091035B">
            <w:pPr>
              <w:widowControl/>
              <w:jc w:val="center"/>
              <w:rPr>
                <w:rFonts w:ascii="仿宋" w:hAnsi="仿宋" w:eastAsia="仿宋"/>
                <w:szCs w:val="21"/>
              </w:rPr>
            </w:pPr>
          </w:p>
        </w:tc>
        <w:tc>
          <w:tcPr>
            <w:tcW w:w="4685" w:type="dxa"/>
            <w:tcBorders>
              <w:top w:val="nil"/>
              <w:left w:val="single" w:color="auto" w:sz="4" w:space="0"/>
              <w:bottom w:val="single" w:color="auto" w:sz="4" w:space="0"/>
              <w:right w:val="single" w:color="auto" w:sz="4" w:space="0"/>
            </w:tcBorders>
            <w:shd w:val="clear" w:color="auto" w:fill="auto"/>
            <w:vAlign w:val="center"/>
          </w:tcPr>
          <w:p w14:paraId="0D1D7866">
            <w:pPr>
              <w:jc w:val="left"/>
              <w:rPr>
                <w:rFonts w:hint="eastAsia" w:ascii="仿宋" w:hAnsi="仿宋" w:eastAsia="仿宋"/>
                <w:color w:val="000000"/>
                <w:szCs w:val="21"/>
              </w:rPr>
            </w:pPr>
            <w:r>
              <w:rPr>
                <w:rFonts w:hint="eastAsia" w:ascii="仿宋" w:hAnsi="仿宋" w:eastAsia="仿宋"/>
                <w:color w:val="000000"/>
                <w:szCs w:val="21"/>
              </w:rPr>
              <w:t>关于推进青少年科学教育，提升学生科学</w:t>
            </w:r>
            <w:r>
              <w:rPr>
                <w:rFonts w:hint="eastAsia" w:ascii="仿宋" w:hAnsi="仿宋" w:eastAsia="仿宋"/>
                <w:color w:val="000000"/>
                <w:szCs w:val="21"/>
                <w:lang w:val="en-US" w:eastAsia="zh-CN"/>
              </w:rPr>
              <w:t>素</w:t>
            </w:r>
            <w:r>
              <w:rPr>
                <w:rFonts w:hint="eastAsia" w:ascii="仿宋" w:hAnsi="仿宋" w:eastAsia="仿宋"/>
                <w:color w:val="000000"/>
                <w:szCs w:val="21"/>
              </w:rPr>
              <w:t>养的提案</w:t>
            </w:r>
          </w:p>
        </w:tc>
        <w:tc>
          <w:tcPr>
            <w:tcW w:w="2982" w:type="dxa"/>
            <w:tcBorders>
              <w:top w:val="nil"/>
              <w:left w:val="single" w:color="auto" w:sz="4" w:space="0"/>
              <w:bottom w:val="single" w:color="auto" w:sz="4" w:space="0"/>
              <w:right w:val="single" w:color="auto" w:sz="4" w:space="0"/>
            </w:tcBorders>
            <w:shd w:val="clear" w:color="auto" w:fill="auto"/>
            <w:vAlign w:val="center"/>
          </w:tcPr>
          <w:p w14:paraId="0919F477">
            <w:pPr>
              <w:jc w:val="center"/>
              <w:rPr>
                <w:rFonts w:hint="eastAsia" w:ascii="仿宋" w:hAnsi="仿宋" w:eastAsia="仿宋"/>
                <w:color w:val="000000"/>
                <w:szCs w:val="21"/>
              </w:rPr>
            </w:pPr>
            <w:r>
              <w:rPr>
                <w:rFonts w:hint="eastAsia" w:ascii="仿宋" w:hAnsi="仿宋" w:eastAsia="仿宋"/>
                <w:color w:val="000000"/>
                <w:szCs w:val="21"/>
              </w:rPr>
              <w:t>党峪箫、李聪雨、胡佳琦</w:t>
            </w:r>
            <w:r>
              <w:rPr>
                <w:rFonts w:hint="eastAsia" w:ascii="仿宋" w:hAnsi="仿宋" w:eastAsia="仿宋"/>
                <w:color w:val="000000"/>
                <w:szCs w:val="21"/>
                <w:lang w:val="en-US" w:eastAsia="zh-CN"/>
              </w:rPr>
              <w:t>、</w:t>
            </w:r>
            <w:r>
              <w:rPr>
                <w:rFonts w:hint="eastAsia" w:ascii="仿宋" w:hAnsi="仿宋" w:eastAsia="仿宋"/>
                <w:color w:val="000000"/>
                <w:szCs w:val="21"/>
              </w:rPr>
              <w:t>安董、韩雅雯</w:t>
            </w:r>
          </w:p>
        </w:tc>
      </w:tr>
      <w:tr w14:paraId="3B5D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30" w:type="dxa"/>
            <w:vMerge w:val="continue"/>
            <w:vAlign w:val="center"/>
          </w:tcPr>
          <w:p w14:paraId="05EFF427">
            <w:pPr>
              <w:widowControl/>
              <w:jc w:val="center"/>
              <w:rPr>
                <w:rFonts w:ascii="仿宋" w:hAnsi="仿宋" w:eastAsia="仿宋"/>
                <w:szCs w:val="21"/>
              </w:rPr>
            </w:pPr>
          </w:p>
        </w:tc>
        <w:tc>
          <w:tcPr>
            <w:tcW w:w="4685" w:type="dxa"/>
            <w:tcBorders>
              <w:top w:val="nil"/>
              <w:left w:val="single" w:color="auto" w:sz="4" w:space="0"/>
              <w:bottom w:val="single" w:color="auto" w:sz="4" w:space="0"/>
              <w:right w:val="single" w:color="auto" w:sz="4" w:space="0"/>
            </w:tcBorders>
            <w:shd w:val="clear" w:color="auto" w:fill="auto"/>
            <w:vAlign w:val="center"/>
          </w:tcPr>
          <w:p w14:paraId="733D03E1">
            <w:pPr>
              <w:jc w:val="left"/>
              <w:rPr>
                <w:rFonts w:hint="eastAsia" w:ascii="仿宋" w:hAnsi="仿宋" w:eastAsia="仿宋"/>
                <w:color w:val="000000"/>
                <w:szCs w:val="21"/>
              </w:rPr>
            </w:pPr>
            <w:r>
              <w:rPr>
                <w:rFonts w:hint="eastAsia" w:ascii="仿宋" w:hAnsi="仿宋" w:eastAsia="仿宋"/>
                <w:color w:val="000000"/>
                <w:szCs w:val="21"/>
              </w:rPr>
              <w:t>关于优化学前教育青年科技人才发展环境的提 案</w:t>
            </w:r>
          </w:p>
        </w:tc>
        <w:tc>
          <w:tcPr>
            <w:tcW w:w="2982" w:type="dxa"/>
            <w:tcBorders>
              <w:top w:val="nil"/>
              <w:left w:val="single" w:color="auto" w:sz="4" w:space="0"/>
              <w:bottom w:val="single" w:color="auto" w:sz="4" w:space="0"/>
              <w:right w:val="single" w:color="auto" w:sz="4" w:space="0"/>
            </w:tcBorders>
            <w:shd w:val="clear" w:color="auto" w:fill="auto"/>
            <w:vAlign w:val="center"/>
          </w:tcPr>
          <w:p w14:paraId="1E1B9182">
            <w:pPr>
              <w:jc w:val="center"/>
              <w:rPr>
                <w:rFonts w:hint="eastAsia" w:ascii="仿宋" w:hAnsi="仿宋" w:eastAsia="仿宋"/>
                <w:color w:val="000000"/>
                <w:szCs w:val="21"/>
              </w:rPr>
            </w:pPr>
            <w:r>
              <w:rPr>
                <w:rFonts w:hint="eastAsia" w:ascii="仿宋" w:hAnsi="仿宋" w:eastAsia="仿宋"/>
                <w:color w:val="000000"/>
                <w:szCs w:val="21"/>
              </w:rPr>
              <w:t>李鑫</w:t>
            </w:r>
            <w:r>
              <w:rPr>
                <w:rFonts w:hint="eastAsia" w:ascii="仿宋" w:hAnsi="仿宋" w:eastAsia="仿宋"/>
                <w:color w:val="000000"/>
                <w:szCs w:val="21"/>
                <w:lang w:val="en-US" w:eastAsia="zh-CN"/>
              </w:rPr>
              <w:t>淼</w:t>
            </w:r>
            <w:r>
              <w:rPr>
                <w:rFonts w:hint="eastAsia" w:ascii="仿宋" w:hAnsi="仿宋" w:eastAsia="仿宋"/>
                <w:color w:val="000000"/>
                <w:szCs w:val="21"/>
              </w:rPr>
              <w:t>、黄楚昀、郭紫贤</w:t>
            </w:r>
          </w:p>
        </w:tc>
      </w:tr>
      <w:tr w14:paraId="3837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130" w:type="dxa"/>
            <w:vMerge w:val="continue"/>
            <w:vAlign w:val="center"/>
          </w:tcPr>
          <w:p w14:paraId="5D4BA25D">
            <w:pPr>
              <w:widowControl/>
              <w:jc w:val="center"/>
              <w:rPr>
                <w:rFonts w:ascii="仿宋" w:hAnsi="仿宋" w:eastAsia="仿宋"/>
                <w:szCs w:val="21"/>
              </w:rPr>
            </w:pPr>
          </w:p>
        </w:tc>
        <w:tc>
          <w:tcPr>
            <w:tcW w:w="4685" w:type="dxa"/>
            <w:tcBorders>
              <w:top w:val="single" w:color="auto" w:sz="4" w:space="0"/>
              <w:left w:val="single" w:color="auto" w:sz="4" w:space="0"/>
              <w:bottom w:val="single" w:color="auto" w:sz="4" w:space="0"/>
              <w:right w:val="single" w:color="auto" w:sz="4" w:space="0"/>
            </w:tcBorders>
            <w:shd w:val="clear" w:color="auto" w:fill="auto"/>
            <w:vAlign w:val="center"/>
          </w:tcPr>
          <w:p w14:paraId="0C135878">
            <w:pPr>
              <w:jc w:val="left"/>
              <w:rPr>
                <w:rFonts w:hint="eastAsia" w:ascii="仿宋" w:hAnsi="仿宋" w:eastAsia="仿宋"/>
                <w:color w:val="000000"/>
                <w:szCs w:val="21"/>
              </w:rPr>
            </w:pPr>
            <w:r>
              <w:rPr>
                <w:rFonts w:hint="eastAsia" w:ascii="仿宋" w:hAnsi="仿宋" w:eastAsia="仿宋"/>
                <w:color w:val="000000"/>
                <w:szCs w:val="21"/>
              </w:rPr>
              <w:t>关于推进社区卫生服务中心标准化建设的提案</w:t>
            </w:r>
          </w:p>
        </w:tc>
        <w:tc>
          <w:tcPr>
            <w:tcW w:w="2982" w:type="dxa"/>
            <w:tcBorders>
              <w:top w:val="single" w:color="auto" w:sz="4" w:space="0"/>
              <w:left w:val="single" w:color="auto" w:sz="4" w:space="0"/>
              <w:bottom w:val="single" w:color="auto" w:sz="4" w:space="0"/>
              <w:right w:val="single" w:color="auto" w:sz="4" w:space="0"/>
            </w:tcBorders>
            <w:shd w:val="clear" w:color="auto" w:fill="auto"/>
            <w:vAlign w:val="center"/>
          </w:tcPr>
          <w:p w14:paraId="7C4E25D6">
            <w:pPr>
              <w:jc w:val="center"/>
              <w:rPr>
                <w:rFonts w:hint="eastAsia" w:ascii="仿宋" w:hAnsi="仿宋" w:eastAsia="仿宋"/>
                <w:color w:val="000000"/>
                <w:szCs w:val="21"/>
              </w:rPr>
            </w:pPr>
            <w:r>
              <w:rPr>
                <w:rFonts w:hint="eastAsia" w:ascii="仿宋" w:hAnsi="仿宋" w:eastAsia="仿宋"/>
                <w:color w:val="000000"/>
                <w:szCs w:val="21"/>
              </w:rPr>
              <w:t>唐昕然、孙一坤、库文畅</w:t>
            </w:r>
          </w:p>
        </w:tc>
      </w:tr>
    </w:tbl>
    <w:p w14:paraId="53E5DF44">
      <w:pPr>
        <w:spacing w:line="560" w:lineRule="exact"/>
        <w:ind w:firstLine="640" w:firstLineChars="200"/>
        <w:rPr>
          <w:rFonts w:ascii="仿宋_GB2312" w:eastAsia="仿宋_GB2312"/>
          <w:sz w:val="32"/>
          <w:szCs w:val="32"/>
        </w:rPr>
      </w:pPr>
    </w:p>
    <w:p w14:paraId="0C5AF609">
      <w:pPr>
        <w:spacing w:line="560" w:lineRule="exact"/>
        <w:ind w:firstLine="640" w:firstLineChars="200"/>
        <w:rPr>
          <w:rFonts w:ascii="仿宋_GB2312" w:hAnsi="Arial" w:eastAsia="仿宋_GB2312" w:cs="Arial"/>
          <w:color w:val="000000"/>
          <w:kern w:val="0"/>
          <w:sz w:val="32"/>
          <w:szCs w:val="32"/>
        </w:rPr>
      </w:pPr>
      <w:r>
        <w:rPr>
          <w:rFonts w:hint="eastAsia" w:ascii="仿宋_GB2312" w:hAnsi="Arial" w:eastAsia="仿宋_GB2312" w:cs="Arial"/>
          <w:color w:val="000000"/>
          <w:kern w:val="0"/>
          <w:sz w:val="32"/>
          <w:szCs w:val="32"/>
        </w:rPr>
        <w:t>公示时间：2024年</w:t>
      </w:r>
      <w:r>
        <w:rPr>
          <w:rFonts w:ascii="仿宋_GB2312" w:hAnsi="Arial" w:eastAsia="仿宋_GB2312" w:cs="Arial"/>
          <w:color w:val="000000"/>
          <w:kern w:val="0"/>
          <w:sz w:val="32"/>
          <w:szCs w:val="32"/>
        </w:rPr>
        <w:t>9</w:t>
      </w:r>
      <w:r>
        <w:rPr>
          <w:rFonts w:hint="eastAsia" w:ascii="仿宋_GB2312" w:hAnsi="Arial" w:eastAsia="仿宋_GB2312" w:cs="Arial"/>
          <w:color w:val="000000"/>
          <w:kern w:val="0"/>
          <w:sz w:val="32"/>
          <w:szCs w:val="32"/>
        </w:rPr>
        <w:t>月</w:t>
      </w:r>
      <w:r>
        <w:rPr>
          <w:rFonts w:hint="eastAsia" w:ascii="仿宋_GB2312" w:hAnsi="Arial" w:eastAsia="仿宋_GB2312" w:cs="Arial"/>
          <w:color w:val="000000"/>
          <w:kern w:val="0"/>
          <w:sz w:val="32"/>
          <w:szCs w:val="32"/>
          <w:lang w:val="en-US" w:eastAsia="zh-CN"/>
        </w:rPr>
        <w:t>28</w:t>
      </w:r>
      <w:r>
        <w:rPr>
          <w:rFonts w:hint="eastAsia" w:ascii="仿宋_GB2312" w:hAnsi="Arial" w:eastAsia="仿宋_GB2312" w:cs="Arial"/>
          <w:color w:val="000000"/>
          <w:kern w:val="0"/>
          <w:sz w:val="32"/>
          <w:szCs w:val="32"/>
        </w:rPr>
        <w:t>日至</w:t>
      </w:r>
      <w:r>
        <w:rPr>
          <w:rFonts w:hint="eastAsia" w:ascii="仿宋_GB2312" w:hAnsi="Arial" w:eastAsia="仿宋_GB2312" w:cs="Arial"/>
          <w:color w:val="000000"/>
          <w:kern w:val="0"/>
          <w:sz w:val="32"/>
          <w:szCs w:val="32"/>
          <w:lang w:val="en-US" w:eastAsia="zh-CN"/>
        </w:rPr>
        <w:t>10</w:t>
      </w:r>
      <w:r>
        <w:rPr>
          <w:rFonts w:hint="eastAsia" w:ascii="仿宋_GB2312" w:hAnsi="Arial" w:eastAsia="仿宋_GB2312" w:cs="Arial"/>
          <w:color w:val="000000"/>
          <w:kern w:val="0"/>
          <w:sz w:val="32"/>
          <w:szCs w:val="32"/>
        </w:rPr>
        <w:t>月</w:t>
      </w:r>
      <w:r>
        <w:rPr>
          <w:rFonts w:hint="eastAsia" w:ascii="仿宋_GB2312" w:hAnsi="Arial" w:eastAsia="仿宋_GB2312" w:cs="Arial"/>
          <w:color w:val="000000"/>
          <w:kern w:val="0"/>
          <w:sz w:val="32"/>
          <w:szCs w:val="32"/>
          <w:lang w:val="en-US" w:eastAsia="zh-CN"/>
        </w:rPr>
        <w:t>2</w:t>
      </w:r>
      <w:r>
        <w:rPr>
          <w:rFonts w:hint="eastAsia" w:ascii="仿宋_GB2312" w:hAnsi="Arial" w:eastAsia="仿宋_GB2312" w:cs="Arial"/>
          <w:color w:val="000000"/>
          <w:kern w:val="0"/>
          <w:sz w:val="32"/>
          <w:szCs w:val="32"/>
        </w:rPr>
        <w:t>日。</w:t>
      </w:r>
    </w:p>
    <w:p w14:paraId="33213C0F">
      <w:pPr>
        <w:spacing w:line="560" w:lineRule="exact"/>
        <w:ind w:firstLine="640" w:firstLineChars="200"/>
        <w:rPr>
          <w:rFonts w:ascii="仿宋_GB2312" w:hAnsi="Arial" w:eastAsia="仿宋_GB2312" w:cs="Arial"/>
          <w:color w:val="000000"/>
          <w:kern w:val="0"/>
          <w:sz w:val="32"/>
          <w:szCs w:val="32"/>
        </w:rPr>
      </w:pPr>
      <w:r>
        <w:rPr>
          <w:rFonts w:hint="eastAsia" w:ascii="仿宋_GB2312" w:eastAsia="仿宋_GB2312"/>
          <w:sz w:val="32"/>
          <w:szCs w:val="32"/>
        </w:rPr>
        <w:t>如对公示结果有异议，请在公示期内通过书面、电话或电子邮件等方式向校团委反映。反映问题要实事求是，为便于核实，</w:t>
      </w:r>
      <w:r>
        <w:rPr>
          <w:rFonts w:hint="eastAsia" w:ascii="仿宋_GB2312" w:hAnsi="Arial" w:eastAsia="仿宋_GB2312" w:cs="Arial"/>
          <w:color w:val="000000"/>
          <w:kern w:val="0"/>
          <w:sz w:val="32"/>
          <w:szCs w:val="32"/>
        </w:rPr>
        <w:t>提倡</w:t>
      </w:r>
      <w:r>
        <w:rPr>
          <w:rFonts w:hint="eastAsia" w:ascii="仿宋_GB2312" w:eastAsia="仿宋_GB2312"/>
          <w:sz w:val="32"/>
          <w:szCs w:val="32"/>
        </w:rPr>
        <w:t>反映问题者，</w:t>
      </w:r>
      <w:r>
        <w:rPr>
          <w:rFonts w:hint="eastAsia" w:ascii="仿宋_GB2312" w:hAnsi="Arial" w:eastAsia="仿宋_GB2312" w:cs="Arial"/>
          <w:color w:val="000000"/>
          <w:kern w:val="0"/>
          <w:sz w:val="32"/>
          <w:szCs w:val="32"/>
        </w:rPr>
        <w:t>提供真实姓名、联系方式。我们将严格遵守工作纪律，履行保密义务。</w:t>
      </w:r>
    </w:p>
    <w:p w14:paraId="0256F2C4">
      <w:pPr>
        <w:spacing w:line="560" w:lineRule="exact"/>
        <w:ind w:firstLine="640" w:firstLineChars="200"/>
        <w:rPr>
          <w:rFonts w:ascii="仿宋_GB2312" w:eastAsia="仿宋_GB2312"/>
          <w:sz w:val="32"/>
          <w:szCs w:val="32"/>
        </w:rPr>
      </w:pPr>
      <w:r>
        <w:rPr>
          <w:rFonts w:hint="eastAsia" w:ascii="仿宋_GB2312" w:eastAsia="仿宋_GB2312"/>
          <w:sz w:val="32"/>
          <w:szCs w:val="32"/>
        </w:rPr>
        <w:t>受理单位：共青团北京青年政治学院委员会</w:t>
      </w:r>
      <w:r>
        <w:rPr>
          <w:rFonts w:ascii="仿宋_GB2312" w:eastAsia="仿宋_GB2312"/>
          <w:sz w:val="32"/>
          <w:szCs w:val="32"/>
        </w:rPr>
        <w:t xml:space="preserve"> </w:t>
      </w:r>
    </w:p>
    <w:p w14:paraId="1641A9A8">
      <w:pPr>
        <w:spacing w:line="560" w:lineRule="exact"/>
        <w:ind w:firstLine="640" w:firstLineChars="200"/>
        <w:rPr>
          <w:rFonts w:ascii="仿宋_GB2312" w:eastAsia="仿宋_GB2312"/>
          <w:sz w:val="32"/>
          <w:szCs w:val="32"/>
        </w:rPr>
      </w:pPr>
      <w:r>
        <w:rPr>
          <w:rFonts w:hint="eastAsia" w:ascii="仿宋_GB2312" w:eastAsia="仿宋_GB2312"/>
          <w:sz w:val="32"/>
          <w:szCs w:val="32"/>
        </w:rPr>
        <w:t>联系电话：8</w:t>
      </w:r>
      <w:r>
        <w:rPr>
          <w:rFonts w:ascii="仿宋_GB2312" w:eastAsia="仿宋_GB2312"/>
          <w:sz w:val="32"/>
          <w:szCs w:val="32"/>
        </w:rPr>
        <w:t>4778238</w:t>
      </w:r>
    </w:p>
    <w:p w14:paraId="68F342C1">
      <w:pPr>
        <w:spacing w:line="560" w:lineRule="exact"/>
        <w:ind w:firstLine="640" w:firstLineChars="200"/>
        <w:rPr>
          <w:rFonts w:ascii="仿宋_GB2312" w:eastAsia="仿宋_GB2312"/>
          <w:sz w:val="32"/>
          <w:szCs w:val="32"/>
        </w:rPr>
      </w:pPr>
      <w:r>
        <w:rPr>
          <w:rFonts w:hint="eastAsia" w:ascii="仿宋_GB2312" w:eastAsia="仿宋_GB2312"/>
          <w:sz w:val="32"/>
          <w:szCs w:val="32"/>
        </w:rPr>
        <w:t>电子邮箱：</w:t>
      </w:r>
      <w:r>
        <w:rPr>
          <w:rFonts w:hint="eastAsia" w:eastAsia="仿宋_GB2312"/>
          <w:sz w:val="32"/>
          <w:szCs w:val="32"/>
        </w:rPr>
        <w:t>tuanwei</w:t>
      </w:r>
      <w:r>
        <w:rPr>
          <w:rFonts w:eastAsia="仿宋_GB2312"/>
          <w:sz w:val="32"/>
          <w:szCs w:val="32"/>
        </w:rPr>
        <w:t>@bjypc</w:t>
      </w:r>
      <w:r>
        <w:rPr>
          <w:rFonts w:hint="eastAsia" w:eastAsia="仿宋_GB2312"/>
          <w:sz w:val="32"/>
          <w:szCs w:val="32"/>
        </w:rPr>
        <w:t>.</w:t>
      </w:r>
      <w:r>
        <w:rPr>
          <w:rFonts w:eastAsia="仿宋_GB2312"/>
          <w:sz w:val="32"/>
          <w:szCs w:val="32"/>
        </w:rPr>
        <w:t>edu.cn</w:t>
      </w:r>
      <w:r>
        <w:rPr>
          <w:rFonts w:hint="eastAsia" w:ascii="仿宋_GB2312" w:eastAsia="仿宋_GB2312"/>
          <w:sz w:val="32"/>
          <w:szCs w:val="32"/>
        </w:rPr>
        <w:t xml:space="preserve">         </w:t>
      </w:r>
    </w:p>
    <w:p w14:paraId="0C0E3EF7">
      <w:pPr>
        <w:ind w:firstLine="640" w:firstLineChars="200"/>
        <w:rPr>
          <w:rFonts w:ascii="仿宋_GB2312" w:hAnsi="华文仿宋" w:eastAsia="仿宋_GB2312"/>
          <w:sz w:val="32"/>
          <w:szCs w:val="32"/>
        </w:rPr>
      </w:pPr>
      <w:r>
        <w:rPr>
          <w:rFonts w:hint="eastAsia" w:ascii="仿宋_GB2312" w:hAnsi="华文仿宋" w:eastAsia="仿宋_GB2312"/>
          <w:sz w:val="32"/>
          <w:szCs w:val="32"/>
        </w:rPr>
        <w:t>联系地址：</w:t>
      </w:r>
      <w:r>
        <w:rPr>
          <w:rFonts w:ascii="仿宋_GB2312" w:hAnsi="华文仿宋" w:eastAsia="仿宋_GB2312"/>
          <w:sz w:val="32"/>
          <w:szCs w:val="32"/>
        </w:rPr>
        <w:t>四号楼三层</w:t>
      </w:r>
      <w:r>
        <w:rPr>
          <w:rFonts w:hint="eastAsia" w:ascii="仿宋_GB2312" w:hAnsi="华文仿宋" w:eastAsia="仿宋_GB2312"/>
          <w:sz w:val="32"/>
          <w:szCs w:val="32"/>
        </w:rPr>
        <w:t>4</w:t>
      </w:r>
      <w:r>
        <w:rPr>
          <w:rFonts w:ascii="仿宋_GB2312" w:hAnsi="华文仿宋" w:eastAsia="仿宋_GB2312"/>
          <w:sz w:val="32"/>
          <w:szCs w:val="32"/>
        </w:rPr>
        <w:t>309团委办公室</w:t>
      </w:r>
      <w:bookmarkStart w:id="0" w:name="_GoBack"/>
      <w:bookmarkEnd w:id="0"/>
    </w:p>
    <w:p w14:paraId="3206E7F7">
      <w:pPr>
        <w:ind w:firstLine="2400" w:firstLineChars="750"/>
        <w:jc w:val="center"/>
        <w:rPr>
          <w:rFonts w:ascii="仿宋_GB2312" w:hAnsi="华文仿宋" w:eastAsia="仿宋_GB2312"/>
          <w:sz w:val="32"/>
          <w:szCs w:val="32"/>
        </w:rPr>
      </w:pPr>
      <w:r>
        <w:rPr>
          <w:rFonts w:hint="eastAsia" w:ascii="仿宋_GB2312" w:hAnsi="华文仿宋" w:eastAsia="仿宋_GB2312"/>
          <w:sz w:val="32"/>
          <w:szCs w:val="32"/>
        </w:rPr>
        <w:t xml:space="preserve">        </w:t>
      </w:r>
    </w:p>
    <w:p w14:paraId="12D14494">
      <w:pPr>
        <w:ind w:firstLine="2400" w:firstLineChars="750"/>
        <w:jc w:val="center"/>
        <w:rPr>
          <w:rFonts w:ascii="仿宋_GB2312" w:hAnsi="华文仿宋" w:eastAsia="仿宋_GB2312"/>
          <w:sz w:val="32"/>
          <w:szCs w:val="32"/>
        </w:rPr>
      </w:pPr>
      <w:r>
        <w:rPr>
          <w:rFonts w:ascii="仿宋_GB2312" w:hAnsi="华文仿宋" w:eastAsia="仿宋_GB2312"/>
          <w:sz w:val="32"/>
          <w:szCs w:val="32"/>
        </w:rPr>
        <w:t xml:space="preserve">      </w:t>
      </w:r>
      <w:r>
        <w:rPr>
          <w:rFonts w:hint="eastAsia" w:ascii="仿宋_GB2312" w:hAnsi="华文仿宋" w:eastAsia="仿宋_GB2312"/>
          <w:sz w:val="32"/>
          <w:szCs w:val="32"/>
        </w:rPr>
        <w:t>共青团北京青年政治学院委员会</w:t>
      </w:r>
    </w:p>
    <w:p w14:paraId="7FEDBD91">
      <w:pPr>
        <w:ind w:firstLine="640" w:firstLineChars="200"/>
        <w:jc w:val="center"/>
        <w:rPr>
          <w:rFonts w:ascii="仿宋_GB2312" w:eastAsia="仿宋_GB2312"/>
        </w:rPr>
      </w:pPr>
      <w:r>
        <w:rPr>
          <w:rFonts w:hint="eastAsia" w:ascii="仿宋_GB2312" w:hAnsi="华文仿宋" w:eastAsia="仿宋_GB2312"/>
          <w:sz w:val="32"/>
          <w:szCs w:val="32"/>
        </w:rPr>
        <w:t xml:space="preserve">                   2024年</w:t>
      </w:r>
      <w:r>
        <w:rPr>
          <w:rFonts w:ascii="仿宋_GB2312" w:hAnsi="华文仿宋" w:eastAsia="仿宋_GB2312"/>
          <w:sz w:val="32"/>
          <w:szCs w:val="32"/>
        </w:rPr>
        <w:t>9</w:t>
      </w:r>
      <w:r>
        <w:rPr>
          <w:rFonts w:hint="eastAsia" w:ascii="仿宋_GB2312" w:hAnsi="华文仿宋" w:eastAsia="仿宋_GB2312"/>
          <w:sz w:val="32"/>
          <w:szCs w:val="32"/>
        </w:rPr>
        <w:t>月</w:t>
      </w:r>
      <w:r>
        <w:rPr>
          <w:rFonts w:hint="eastAsia" w:ascii="仿宋_GB2312" w:hAnsi="华文仿宋" w:eastAsia="仿宋_GB2312"/>
          <w:sz w:val="32"/>
          <w:szCs w:val="32"/>
          <w:lang w:val="en-US" w:eastAsia="zh-CN"/>
        </w:rPr>
        <w:t>28</w:t>
      </w:r>
      <w:r>
        <w:rPr>
          <w:rFonts w:ascii="仿宋_GB2312" w:hAnsi="华文仿宋" w:eastAsia="仿宋_GB2312"/>
          <w:sz w:val="32"/>
          <w:szCs w:val="32"/>
        </w:rPr>
        <w:t>日</w:t>
      </w:r>
    </w:p>
    <w:sectPr>
      <w:headerReference r:id="rId3" w:type="default"/>
      <w:pgSz w:w="11906" w:h="16838"/>
      <w:pgMar w:top="1587" w:right="1570" w:bottom="1440" w:left="157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08C22">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2ZTQ4MTg3ZWQ4N2QyZjIxNjFmMDQ2NDViOGVhYjQifQ=="/>
  </w:docVars>
  <w:rsids>
    <w:rsidRoot w:val="4800463C"/>
    <w:rsid w:val="0003170D"/>
    <w:rsid w:val="00064A33"/>
    <w:rsid w:val="00064AFE"/>
    <w:rsid w:val="001342C8"/>
    <w:rsid w:val="00212C30"/>
    <w:rsid w:val="00231EBF"/>
    <w:rsid w:val="00252309"/>
    <w:rsid w:val="002734FF"/>
    <w:rsid w:val="00274139"/>
    <w:rsid w:val="002F2E3A"/>
    <w:rsid w:val="00332D08"/>
    <w:rsid w:val="003C2416"/>
    <w:rsid w:val="00491FBD"/>
    <w:rsid w:val="004C57BF"/>
    <w:rsid w:val="00524909"/>
    <w:rsid w:val="00567A22"/>
    <w:rsid w:val="005A3947"/>
    <w:rsid w:val="006B6937"/>
    <w:rsid w:val="006E253F"/>
    <w:rsid w:val="00727C27"/>
    <w:rsid w:val="008A0D1E"/>
    <w:rsid w:val="008B4B94"/>
    <w:rsid w:val="00971489"/>
    <w:rsid w:val="009C2781"/>
    <w:rsid w:val="00A10842"/>
    <w:rsid w:val="00A10B34"/>
    <w:rsid w:val="00A346D3"/>
    <w:rsid w:val="00A6162C"/>
    <w:rsid w:val="00A752EA"/>
    <w:rsid w:val="00A9756F"/>
    <w:rsid w:val="00AD7003"/>
    <w:rsid w:val="00B0044E"/>
    <w:rsid w:val="00B134CD"/>
    <w:rsid w:val="00BD3B8D"/>
    <w:rsid w:val="00BE1F76"/>
    <w:rsid w:val="00C416A3"/>
    <w:rsid w:val="00C660A8"/>
    <w:rsid w:val="00C907E9"/>
    <w:rsid w:val="00C947E3"/>
    <w:rsid w:val="00D1303D"/>
    <w:rsid w:val="00D135CD"/>
    <w:rsid w:val="00D170E7"/>
    <w:rsid w:val="00D33EC7"/>
    <w:rsid w:val="00DD1494"/>
    <w:rsid w:val="00DF7D72"/>
    <w:rsid w:val="00E01767"/>
    <w:rsid w:val="00E32822"/>
    <w:rsid w:val="00E93A83"/>
    <w:rsid w:val="00EB14BF"/>
    <w:rsid w:val="00EB5428"/>
    <w:rsid w:val="00FB15B6"/>
    <w:rsid w:val="00FE0F88"/>
    <w:rsid w:val="01CA74DA"/>
    <w:rsid w:val="071F6AB6"/>
    <w:rsid w:val="079B2B53"/>
    <w:rsid w:val="0D780CCE"/>
    <w:rsid w:val="0E890323"/>
    <w:rsid w:val="0F9F1332"/>
    <w:rsid w:val="11D96373"/>
    <w:rsid w:val="12C022AA"/>
    <w:rsid w:val="15A879BC"/>
    <w:rsid w:val="19215786"/>
    <w:rsid w:val="1B7673D4"/>
    <w:rsid w:val="1BE41104"/>
    <w:rsid w:val="1CCD2F0B"/>
    <w:rsid w:val="1E144194"/>
    <w:rsid w:val="1ED0029C"/>
    <w:rsid w:val="1F7B1D8A"/>
    <w:rsid w:val="2202268E"/>
    <w:rsid w:val="22BC2DF1"/>
    <w:rsid w:val="22D77729"/>
    <w:rsid w:val="23D06D16"/>
    <w:rsid w:val="2C346363"/>
    <w:rsid w:val="2F821DEA"/>
    <w:rsid w:val="2FB66AD5"/>
    <w:rsid w:val="30B30025"/>
    <w:rsid w:val="31280F6F"/>
    <w:rsid w:val="331840B8"/>
    <w:rsid w:val="35802166"/>
    <w:rsid w:val="359270DC"/>
    <w:rsid w:val="36BE0897"/>
    <w:rsid w:val="378A1AF3"/>
    <w:rsid w:val="38603160"/>
    <w:rsid w:val="3A760047"/>
    <w:rsid w:val="3BB8514B"/>
    <w:rsid w:val="3C7D7BE8"/>
    <w:rsid w:val="421776B1"/>
    <w:rsid w:val="459601D9"/>
    <w:rsid w:val="46AC782E"/>
    <w:rsid w:val="46B553CD"/>
    <w:rsid w:val="4800463C"/>
    <w:rsid w:val="48394E73"/>
    <w:rsid w:val="4A0440C1"/>
    <w:rsid w:val="4A410A70"/>
    <w:rsid w:val="4ADB630F"/>
    <w:rsid w:val="4C48360C"/>
    <w:rsid w:val="4D7D4C96"/>
    <w:rsid w:val="51B16FF1"/>
    <w:rsid w:val="55D64B2E"/>
    <w:rsid w:val="594357E5"/>
    <w:rsid w:val="5A6D1A93"/>
    <w:rsid w:val="5A8E279B"/>
    <w:rsid w:val="5CFB2C6F"/>
    <w:rsid w:val="61C955C6"/>
    <w:rsid w:val="62ED5511"/>
    <w:rsid w:val="63894E50"/>
    <w:rsid w:val="63CF579B"/>
    <w:rsid w:val="63F76031"/>
    <w:rsid w:val="6558384A"/>
    <w:rsid w:val="65A4066E"/>
    <w:rsid w:val="662313D4"/>
    <w:rsid w:val="673F0C4C"/>
    <w:rsid w:val="675954FC"/>
    <w:rsid w:val="6B6E08BB"/>
    <w:rsid w:val="6D535020"/>
    <w:rsid w:val="6DD507CC"/>
    <w:rsid w:val="6E545C06"/>
    <w:rsid w:val="72B83982"/>
    <w:rsid w:val="754D2CDA"/>
    <w:rsid w:val="759C7D67"/>
    <w:rsid w:val="75CC40C0"/>
    <w:rsid w:val="76C85EE5"/>
    <w:rsid w:val="78DF3599"/>
    <w:rsid w:val="795835D7"/>
    <w:rsid w:val="79A130F1"/>
    <w:rsid w:val="7CC13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4"/>
    <w:qFormat/>
    <w:uiPriority w:val="0"/>
    <w:pPr>
      <w:jc w:val="left"/>
    </w:pPr>
  </w:style>
  <w:style w:type="paragraph" w:styleId="3">
    <w:name w:val="Plain Text"/>
    <w:basedOn w:val="1"/>
    <w:qFormat/>
    <w:uiPriority w:val="0"/>
    <w:rPr>
      <w:rFonts w:ascii="宋体" w:hAnsi="Courier New" w:cs="Courier New"/>
      <w:szCs w:val="21"/>
    </w:rPr>
  </w:style>
  <w:style w:type="paragraph" w:styleId="4">
    <w:name w:val="Balloon Text"/>
    <w:basedOn w:val="1"/>
    <w:link w:val="32"/>
    <w:qFormat/>
    <w:uiPriority w:val="0"/>
    <w:rPr>
      <w:sz w:val="18"/>
      <w:szCs w:val="18"/>
    </w:rPr>
  </w:style>
  <w:style w:type="paragraph" w:styleId="5">
    <w:name w:val="footer"/>
    <w:basedOn w:val="1"/>
    <w:link w:val="29"/>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35"/>
    <w:qFormat/>
    <w:uiPriority w:val="0"/>
    <w:rPr>
      <w:b/>
      <w:bCs/>
    </w:rPr>
  </w:style>
  <w:style w:type="table" w:styleId="9">
    <w:name w:val="Table Grid"/>
    <w:basedOn w:val="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styleId="14">
    <w:name w:val="annotation reference"/>
    <w:basedOn w:val="10"/>
    <w:qFormat/>
    <w:uiPriority w:val="0"/>
    <w:rPr>
      <w:sz w:val="21"/>
      <w:szCs w:val="21"/>
    </w:rPr>
  </w:style>
  <w:style w:type="character" w:customStyle="1" w:styleId="15">
    <w:name w:val="button"/>
    <w:basedOn w:val="10"/>
    <w:qFormat/>
    <w:uiPriority w:val="0"/>
  </w:style>
  <w:style w:type="character" w:customStyle="1" w:styleId="16">
    <w:name w:val="text-danger"/>
    <w:basedOn w:val="10"/>
    <w:qFormat/>
    <w:uiPriority w:val="0"/>
  </w:style>
  <w:style w:type="character" w:customStyle="1" w:styleId="17">
    <w:name w:val="error2"/>
    <w:basedOn w:val="10"/>
    <w:qFormat/>
    <w:uiPriority w:val="0"/>
  </w:style>
  <w:style w:type="character" w:customStyle="1" w:styleId="18">
    <w:name w:val="error3"/>
    <w:basedOn w:val="10"/>
    <w:qFormat/>
    <w:uiPriority w:val="0"/>
    <w:rPr>
      <w:color w:val="FFFFFF"/>
      <w:shd w:val="clear" w:color="auto" w:fill="FF0000"/>
    </w:rPr>
  </w:style>
  <w:style w:type="character" w:customStyle="1" w:styleId="19">
    <w:name w:val="tmpztreemove_arrow"/>
    <w:basedOn w:val="10"/>
    <w:qFormat/>
    <w:uiPriority w:val="0"/>
  </w:style>
  <w:style w:type="character" w:customStyle="1" w:styleId="20">
    <w:name w:val="hover14"/>
    <w:basedOn w:val="10"/>
    <w:qFormat/>
    <w:uiPriority w:val="0"/>
    <w:rPr>
      <w:shd w:val="clear" w:color="auto" w:fill="FFD8B0"/>
    </w:rPr>
  </w:style>
  <w:style w:type="character" w:customStyle="1" w:styleId="21">
    <w:name w:val="button4"/>
    <w:basedOn w:val="10"/>
    <w:qFormat/>
    <w:uiPriority w:val="0"/>
  </w:style>
  <w:style w:type="character" w:customStyle="1" w:styleId="22">
    <w:name w:val="hover15"/>
    <w:basedOn w:val="10"/>
    <w:qFormat/>
    <w:uiPriority w:val="0"/>
    <w:rPr>
      <w:shd w:val="clear" w:color="auto" w:fill="FFD8B0"/>
    </w:rPr>
  </w:style>
  <w:style w:type="character" w:customStyle="1" w:styleId="23">
    <w:name w:val="text-danger2"/>
    <w:basedOn w:val="10"/>
    <w:qFormat/>
    <w:uiPriority w:val="0"/>
  </w:style>
  <w:style w:type="character" w:customStyle="1" w:styleId="24">
    <w:name w:val="hover11"/>
    <w:basedOn w:val="10"/>
    <w:qFormat/>
    <w:uiPriority w:val="0"/>
    <w:rPr>
      <w:shd w:val="clear" w:color="auto" w:fill="FFD8B0"/>
    </w:rPr>
  </w:style>
  <w:style w:type="character" w:customStyle="1" w:styleId="25">
    <w:name w:val="hover"/>
    <w:basedOn w:val="10"/>
    <w:qFormat/>
    <w:uiPriority w:val="0"/>
    <w:rPr>
      <w:shd w:val="clear" w:color="auto" w:fill="FFD8B0"/>
    </w:rPr>
  </w:style>
  <w:style w:type="character" w:customStyle="1" w:styleId="26">
    <w:name w:val="hover6"/>
    <w:basedOn w:val="10"/>
    <w:qFormat/>
    <w:uiPriority w:val="0"/>
    <w:rPr>
      <w:shd w:val="clear" w:color="auto" w:fill="FFD8B0"/>
    </w:rPr>
  </w:style>
  <w:style w:type="character" w:customStyle="1" w:styleId="27">
    <w:name w:val="hover13"/>
    <w:basedOn w:val="10"/>
    <w:qFormat/>
    <w:uiPriority w:val="0"/>
    <w:rPr>
      <w:shd w:val="clear" w:color="auto" w:fill="FFD8B0"/>
    </w:rPr>
  </w:style>
  <w:style w:type="character" w:customStyle="1" w:styleId="28">
    <w:name w:val="font11"/>
    <w:basedOn w:val="10"/>
    <w:qFormat/>
    <w:uiPriority w:val="0"/>
    <w:rPr>
      <w:rFonts w:hint="eastAsia" w:ascii="仿宋" w:hAnsi="仿宋" w:eastAsia="仿宋" w:cs="仿宋"/>
      <w:b/>
      <w:bCs/>
      <w:color w:val="000000"/>
      <w:sz w:val="28"/>
      <w:szCs w:val="28"/>
      <w:u w:val="none"/>
    </w:rPr>
  </w:style>
  <w:style w:type="character" w:customStyle="1" w:styleId="29">
    <w:name w:val="页脚 字符"/>
    <w:basedOn w:val="10"/>
    <w:link w:val="5"/>
    <w:qFormat/>
    <w:uiPriority w:val="0"/>
    <w:rPr>
      <w:kern w:val="2"/>
      <w:sz w:val="18"/>
      <w:szCs w:val="18"/>
    </w:rPr>
  </w:style>
  <w:style w:type="paragraph" w:styleId="30">
    <w:name w:val="List Paragraph"/>
    <w:basedOn w:val="1"/>
    <w:qFormat/>
    <w:uiPriority w:val="99"/>
    <w:pPr>
      <w:ind w:firstLine="420" w:firstLineChars="200"/>
    </w:pPr>
  </w:style>
  <w:style w:type="table" w:customStyle="1" w:styleId="31">
    <w:name w:val="Table Normal"/>
    <w:semiHidden/>
    <w:unhideWhenUsed/>
    <w:qFormat/>
    <w:uiPriority w:val="0"/>
    <w:tblPr>
      <w:tblCellMar>
        <w:top w:w="0" w:type="dxa"/>
        <w:left w:w="0" w:type="dxa"/>
        <w:bottom w:w="0" w:type="dxa"/>
        <w:right w:w="0" w:type="dxa"/>
      </w:tblCellMar>
    </w:tblPr>
  </w:style>
  <w:style w:type="character" w:customStyle="1" w:styleId="32">
    <w:name w:val="批注框文本 字符"/>
    <w:basedOn w:val="10"/>
    <w:link w:val="4"/>
    <w:qFormat/>
    <w:uiPriority w:val="0"/>
    <w:rPr>
      <w:kern w:val="2"/>
      <w:sz w:val="18"/>
      <w:szCs w:val="18"/>
    </w:rPr>
  </w:style>
  <w:style w:type="paragraph" w:customStyle="1" w:styleId="33">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34">
    <w:name w:val="批注文字 字符"/>
    <w:basedOn w:val="10"/>
    <w:link w:val="2"/>
    <w:qFormat/>
    <w:uiPriority w:val="0"/>
    <w:rPr>
      <w:kern w:val="2"/>
      <w:sz w:val="21"/>
      <w:szCs w:val="24"/>
    </w:rPr>
  </w:style>
  <w:style w:type="character" w:customStyle="1" w:styleId="35">
    <w:name w:val="批注主题 字符"/>
    <w:basedOn w:val="34"/>
    <w:link w:val="7"/>
    <w:qFormat/>
    <w:uiPriority w:val="0"/>
    <w:rPr>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xue\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HP Inc.</Company>
  <Pages>2</Pages>
  <Words>737</Words>
  <Characters>782</Characters>
  <Lines>6</Lines>
  <Paragraphs>1</Paragraphs>
  <TotalTime>1</TotalTime>
  <ScaleCrop>false</ScaleCrop>
  <LinksUpToDate>false</LinksUpToDate>
  <CharactersWithSpaces>826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2024-07-01T07:11:00Z</dcterms:created>
  <dc:creator>Samsara小夏</dc:creator>
  <cp:lastModifiedBy>hy</cp:lastModifiedBy>
  <cp:lastPrinted>2024-05-02T08:04:00Z</cp:lastPrinted>
  <dcterms:modified xsi:type="dcterms:W3CDTF">2025-09-28T14:43:27Z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BF9B79B7F7EC40B9BCD656A339ABE6EF_13</vt:lpwstr>
  </property>
  <property fmtid="{D5CDD505-2E9C-101B-9397-08002B2CF9AE}" pid="4" name="KSOTemplateDocerSaveRecord">
    <vt:lpwstr>eyJoZGlkIjoiOGVkMTJiOTFlMjEyMDJhODNlMGIzZmQzYjJjNTc0NjcifQ==</vt:lpwstr>
  </property>
</Properties>
</file>