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595" w:type="pct"/>
        <w:jc w:val="center"/>
        <w:tblBorders>
          <w:top w:val="none" w:color="auto" w:sz="0" w:space="0"/>
          <w:left w:val="none" w:color="auto" w:sz="0" w:space="0"/>
          <w:bottom w:val="single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4"/>
      </w:tblGrid>
      <w:tr w14:paraId="5B8D346A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14:paraId="51343976">
            <w:pPr>
              <w:jc w:val="center"/>
              <w:rPr>
                <w:rFonts w:ascii="方正小标宋简体" w:hAnsi="宋体" w:eastAsia="方正小标宋简体"/>
                <w:color w:val="FF0000"/>
                <w:spacing w:val="-10"/>
                <w:sz w:val="72"/>
                <w:szCs w:val="72"/>
              </w:rPr>
            </w:pPr>
            <w:r>
              <w:rPr>
                <w:rFonts w:hint="eastAsia" w:ascii="方正小标宋简体" w:hAnsi="宋体" w:eastAsia="方正小标宋简体"/>
                <w:color w:val="FF0000"/>
                <w:spacing w:val="-10"/>
                <w:sz w:val="72"/>
                <w:szCs w:val="72"/>
              </w:rPr>
              <w:t>北京青年政治学院科研处文件</w:t>
            </w:r>
          </w:p>
        </w:tc>
      </w:tr>
      <w:tr w14:paraId="2738568C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AA76">
            <w:pPr>
              <w:jc w:val="center"/>
              <w:rPr>
                <w:rFonts w:ascii="仿宋_GB2312" w:hAnsi="宋体" w:eastAsia="仿宋_GB2312"/>
                <w:b/>
                <w:color w:val="FF0000"/>
                <w:sz w:val="32"/>
                <w:szCs w:val="32"/>
              </w:rPr>
            </w:pPr>
          </w:p>
        </w:tc>
      </w:tr>
      <w:tr w14:paraId="05AF30B7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single" w:color="FF0000" w:sz="24" w:space="0"/>
              <w:right w:val="nil"/>
            </w:tcBorders>
            <w:vAlign w:val="center"/>
          </w:tcPr>
          <w:p w14:paraId="375CFEFE">
            <w:pPr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院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研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发〔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〕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val="en-US" w:eastAsia="zh-CN"/>
              </w:rPr>
              <w:t>17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号</w:t>
            </w:r>
          </w:p>
        </w:tc>
      </w:tr>
    </w:tbl>
    <w:p w14:paraId="2CEC992D">
      <w:pPr>
        <w:shd w:val="clear" w:color="auto" w:fill="FFFFFF"/>
        <w:spacing w:line="360" w:lineRule="auto"/>
        <w:jc w:val="center"/>
        <w:rPr>
          <w:rFonts w:ascii="黑体" w:hAnsi="宋体" w:eastAsia="黑体" w:cs="宋体"/>
          <w:bCs/>
          <w:color w:val="000000"/>
          <w:kern w:val="0"/>
          <w:sz w:val="44"/>
          <w:szCs w:val="44"/>
        </w:rPr>
      </w:pPr>
    </w:p>
    <w:p w14:paraId="37BEACCB">
      <w:pPr>
        <w:shd w:val="clear" w:color="auto" w:fill="FFFFFF"/>
        <w:spacing w:line="384" w:lineRule="auto"/>
        <w:jc w:val="center"/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关于开展中华职业教育社2026年度规划</w:t>
      </w:r>
    </w:p>
    <w:p w14:paraId="642D3FBD">
      <w:pPr>
        <w:shd w:val="clear" w:color="auto" w:fill="FFFFFF"/>
        <w:spacing w:line="384" w:lineRule="auto"/>
        <w:jc w:val="center"/>
        <w:rPr>
          <w:rFonts w:hint="eastAsia" w:ascii="宋体" w:hAnsi="宋体" w:cs="宋体"/>
          <w:color w:val="333333"/>
          <w:kern w:val="0"/>
          <w:szCs w:val="21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课题申报工作的通知</w:t>
      </w:r>
    </w:p>
    <w:p w14:paraId="28117B0C">
      <w:pPr>
        <w:shd w:val="clear" w:color="auto" w:fill="FFFFFF"/>
        <w:spacing w:line="384" w:lineRule="auto"/>
        <w:jc w:val="left"/>
        <w:rPr>
          <w:rFonts w:ascii="黑体" w:hAnsi="宋体" w:eastAsia="黑体" w:cs="宋体"/>
          <w:color w:val="333333"/>
          <w:kern w:val="0"/>
          <w:sz w:val="30"/>
          <w:szCs w:val="30"/>
        </w:rPr>
      </w:pPr>
    </w:p>
    <w:p w14:paraId="1BC8E32E">
      <w:pPr>
        <w:shd w:val="clear" w:color="auto" w:fill="FFFFFF"/>
        <w:spacing w:line="384" w:lineRule="auto"/>
        <w:jc w:val="left"/>
        <w:rPr>
          <w:rFonts w:ascii="黑体" w:hAnsi="宋体" w:eastAsia="黑体" w:cs="宋体"/>
          <w:color w:val="333333"/>
          <w:kern w:val="0"/>
          <w:sz w:val="30"/>
          <w:szCs w:val="30"/>
        </w:rPr>
      </w:pPr>
      <w:r>
        <w:rPr>
          <w:rFonts w:hint="eastAsia" w:ascii="黑体" w:hAnsi="宋体" w:eastAsia="黑体" w:cs="宋体"/>
          <w:color w:val="333333"/>
          <w:kern w:val="0"/>
          <w:sz w:val="30"/>
          <w:szCs w:val="30"/>
        </w:rPr>
        <w:t>各有关单位：</w:t>
      </w:r>
    </w:p>
    <w:p w14:paraId="010100A6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为贯彻党的二十大和二十届历次全会精神，落实党中央、国务院关于职业教育工作的决策部署，进一步加强职业教育研究工作，助力新时代职业教育高质量发展，根据《中华职业教育社规划课题管理办法》，中华职业教育社决定开展2026年度规划课题申报工作，现将我院有关事项通知如下。</w:t>
      </w:r>
    </w:p>
    <w:p w14:paraId="4271B4B3">
      <w:pPr>
        <w:numPr>
          <w:ilvl w:val="0"/>
          <w:numId w:val="1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总体思路</w:t>
      </w:r>
    </w:p>
    <w:p w14:paraId="481F6FD5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以习近平新时代中国特色社会主义思想为指导，深入贯彻党的二十大和二十届历次全会精神，落实《国民经济和社会发展第十五个五年规划纲要》和党中央、国务院印发的《教育强国建设规划纲要（2024—2035年）》有关要求，聚焦职业教育改革发展的热点、重点和难点，注重解决实际问题，注重为党和政府建言献策，以优秀成果推动职业教育理论和实践创新，助力新时代职业教育高质量发展。</w:t>
      </w:r>
    </w:p>
    <w:p w14:paraId="066E7415">
      <w:pPr>
        <w:numPr>
          <w:ilvl w:val="0"/>
          <w:numId w:val="1"/>
        </w:numPr>
        <w:shd w:val="clear" w:color="auto" w:fill="FFFFFF"/>
        <w:spacing w:line="384" w:lineRule="auto"/>
        <w:ind w:left="0" w:leftChars="0" w:firstLine="640" w:firstLineChars="200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研究方向</w:t>
      </w:r>
    </w:p>
    <w:p w14:paraId="06E500DB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课题分为重点和一般两个类别。在重点和一般课题类别基础上，为加强青年人才培养，本次申报设青年专项课题，对青年教师和青年学者予以重点支持与适当倾斜。</w:t>
      </w:r>
    </w:p>
    <w:p w14:paraId="39614378">
      <w:pPr>
        <w:numPr>
          <w:ilvl w:val="0"/>
          <w:numId w:val="2"/>
        </w:numPr>
        <w:shd w:val="clear" w:color="auto" w:fill="FFFFFF"/>
        <w:spacing w:line="384" w:lineRule="auto"/>
        <w:ind w:firstLine="643" w:firstLineChars="200"/>
        <w:jc w:val="left"/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重点课题</w:t>
      </w:r>
    </w:p>
    <w:p w14:paraId="54082690">
      <w:pPr>
        <w:numPr>
          <w:numId w:val="0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1.“十五五”时期职业教育促进教育强国建设（包括但不限于：职业教育立德树人根本问题研究；人口与社会变迁背景下我国职业教育发展研究；新就业形态下职业教育适应性改革研究）</w:t>
      </w:r>
    </w:p>
    <w:p w14:paraId="17EC97AA">
      <w:pPr>
        <w:numPr>
          <w:numId w:val="0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2.人工智能赋能职业教育数智化转型（包括但不限于：人工智能背景下职业教育改革发展研究；职业教育服务新质生产力研究）</w:t>
      </w:r>
    </w:p>
    <w:p w14:paraId="68E1CC97">
      <w:pPr>
        <w:numPr>
          <w:numId w:val="0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3.产教融合、职普融通研究（包括但不限于：职普融通、产教融合的职业教育现代体系建设研究；产教融合政策执行研究；企业深度参与职业教育研究；职普融通实施路径研究） </w:t>
      </w:r>
    </w:p>
    <w:p w14:paraId="23FFBDBB">
      <w:pPr>
        <w:numPr>
          <w:numId w:val="0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4.职业教育服务区域经济发展（包括但不限于：职业教育助力边疆民族地区发展；职业教育服务人民城市建设研究）  </w:t>
      </w:r>
    </w:p>
    <w:p w14:paraId="7F7027F4">
      <w:pPr>
        <w:numPr>
          <w:numId w:val="0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5.《职业教育法》贯彻落实情况及职业教育治理</w:t>
      </w:r>
    </w:p>
    <w:p w14:paraId="5A0FC43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6.职业教育人才培养模式创新和“双师型”教师队伍建设</w:t>
      </w:r>
    </w:p>
    <w:p w14:paraId="02E9054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7.职业教育助力乡村振兴、共同富裕</w:t>
      </w:r>
    </w:p>
    <w:p w14:paraId="49758E7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8.职业教育与非物质文化遗产保护传承</w:t>
      </w:r>
    </w:p>
    <w:p w14:paraId="2E2BC75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9.职业教育国际化（包括但不限于：职业教育国别研究及比较研究；职业教育助力高质量共建“一带一路”研究与实践；国际产能合作中职业教育“走出去”策略研究）</w:t>
      </w:r>
    </w:p>
    <w:p w14:paraId="5A6EDA5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10.职业院校党外代表人士队伍建设及有关课题（包括但不限于：职业教育界人士思想状况调研;职业教育领域统一战线工作研究；加强职教社“统战性”研究；《中华职业教育发展报告》、《中华职业教育年鉴》)</w:t>
      </w:r>
    </w:p>
    <w:p w14:paraId="1D28FDA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一般课题  </w:t>
      </w:r>
    </w:p>
    <w:p w14:paraId="49583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主要为学校发展类课题研究，包括但不限于：职业院校学生身心健康、专业建设、师资建设、校企合作、国际交流、学生就业等方面的研究。</w:t>
      </w:r>
    </w:p>
    <w:p w14:paraId="7CCA99F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青年专项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（参照重点课题和一般课题研究方向）</w:t>
      </w:r>
    </w:p>
    <w:p w14:paraId="5B4C06A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重点课题、一般课题申报者须参考选题范围所列方向性条目，针对职业教育改革发展中的热点和难点问题，结合工作实践和研究方向，自行确定申报类别和课题名称。青年专项课题申报者可根据重点课题和一般课题研究方向，自行确定申报类别和课题名称。课题名称表述要科学严谨、简明规范，避免引起歧义或争议。研究内容应具有创新性，取得的研究成果应具有较高理论价值或实践价值。</w:t>
      </w:r>
    </w:p>
    <w:p w14:paraId="722CE0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申报与管理要求</w:t>
      </w:r>
    </w:p>
    <w:p w14:paraId="1979141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申报要求</w:t>
      </w:r>
    </w:p>
    <w:p w14:paraId="5E0C5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课题负责人应符合以下条件：</w:t>
      </w:r>
    </w:p>
    <w:p w14:paraId="47A3AB5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申请重点课题须具有副高级以上（含）职称（职务）或者博士学位；申请一般课题负责人须具有中级（含）以上专业技术职务；青年专项负责人年龄不超过40周岁（按申报截止日期计算，即1986年5月31日后出生），申报时勾选“青年专项”，同等条件下优先立项，重点支持青年学者开展创新性研究（青年专项负责人申报重点课题，职称可放宽至中级（含）以上专业技术职务；青年专项负责人申报一般课题，不限职称、学历）。</w:t>
      </w:r>
    </w:p>
    <w:p w14:paraId="423B2DF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2.课题负责人同时只能申报一个课题，且不能作为课题组成员参与其他课题的申请；课题组成员同年度最多参与两个课题申请。</w:t>
      </w:r>
    </w:p>
    <w:p w14:paraId="2E750F0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3.有下列情形的不得申报本届规划课题:（1）中华职业教育社2025年度规划课题获立项但仍未结项的课题负责人；（2）已获立项或已结项的课题不得重复申报。</w:t>
      </w:r>
    </w:p>
    <w:p w14:paraId="4AD4952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研究期限</w:t>
      </w:r>
    </w:p>
    <w:p w14:paraId="2D3F0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课题研究周期原则上为1年。因课题自身特点或存在特殊情况需要延长的，须在中期检查前提出申请。</w:t>
      </w:r>
    </w:p>
    <w:p w14:paraId="2880BE1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课题管理</w:t>
      </w:r>
    </w:p>
    <w:p w14:paraId="2ED78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重点课题由中华职业教育社总社直接管理，一般课题由所属地域省级中华职业教育社负责日常管理。立项课题的课题负责人及其所在单位，做好课题自我管理。</w:t>
      </w:r>
    </w:p>
    <w:p w14:paraId="0F656B6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课题经费</w:t>
      </w:r>
    </w:p>
    <w:p w14:paraId="0FDA9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中华职业教育社总社对重点课题和一般课题不提供经费支持。根据立项情况学院给予必要的经费配套，积极支持课题研究工作。课题负责人应严格按照有关规定使用经费，并对课题经费使用的真实性、合法性和有效性负责。</w:t>
      </w:r>
    </w:p>
    <w:p w14:paraId="02DBB32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成果要求</w:t>
      </w:r>
    </w:p>
    <w:p w14:paraId="388E1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照《课题管理办法》，课题成果包括政策建议、与职业教育教学实践相关的成果，如政策咨询报告、高质量的实践调研报告、实践案例、政策建议报告等。鼓励多样化成果特别是教育教学实践成果，不局限于文章、著作等学术成果。</w:t>
      </w:r>
    </w:p>
    <w:p w14:paraId="40D83D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申报与立项程序</w:t>
      </w:r>
    </w:p>
    <w:p w14:paraId="3891E7A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申报方式</w:t>
      </w:r>
    </w:p>
    <w:p w14:paraId="07E3591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1.课题采用网络申报的形式。“中华职业教育社规划课题管理系统”（https://zhzjghkt.zhzjcxcy.com）为本次申报的唯一系统。</w:t>
      </w:r>
    </w:p>
    <w:p w14:paraId="09AF142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2.自本通知发布之日起，符合条件的申报者，可在本通知规定的研究题目范围内选题，并在截止日期内按课题系统要求填写申报内容。</w:t>
      </w:r>
    </w:p>
    <w:p w14:paraId="4C346C3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3.北京市中华职业教育社负责北京市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的课题申报、初审和推荐。向总社推荐重点课题不超过4个，一般课题不超过6个，青年专项课题不超过2个，课题总数量不超过12个。</w:t>
      </w:r>
    </w:p>
    <w:p w14:paraId="5861A42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申报流程</w:t>
      </w:r>
    </w:p>
    <w:p w14:paraId="7947218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申报人填报资料：2026年5月28日24:00前，各申报人进入系统注册账号，并按系统提示提交申报材料。除在线填写申报课题信息、申报人信息、课题组成员信息外，还需上传加盖单位公章的课题申报书（附件1）扫描件（PDF格式）、课题活页扫描件（附件2）（PDF格式）。系统到截止时间将自动关闭，为避免系统堵塞，建议各系统管理员和申报人提前上网操作。</w:t>
      </w:r>
    </w:p>
    <w:p w14:paraId="02125393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各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请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科研秘书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于5月28日前提交加盖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公章的《2026年中华职教总社年度规划项目申报汇总表》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/>
          <w:color w:val="000000"/>
          <w:sz w:val="32"/>
          <w:szCs w:val="32"/>
        </w:rPr>
        <w:t>申报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书</w:t>
      </w:r>
      <w:r>
        <w:rPr>
          <w:rFonts w:hint="eastAsia" w:ascii="仿宋_GB2312" w:eastAsia="仿宋_GB2312"/>
          <w:color w:val="000000"/>
          <w:sz w:val="32"/>
          <w:szCs w:val="32"/>
        </w:rPr>
        <w:t>电子版发送至电子邮箱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gaoyanrong@bjypc.edu.cn，</w:t>
      </w:r>
      <w:r>
        <w:rPr>
          <w:rFonts w:hint="eastAsia" w:ascii="仿宋_GB2312" w:eastAsia="仿宋_GB2312"/>
          <w:color w:val="000000"/>
          <w:sz w:val="32"/>
          <w:szCs w:val="32"/>
        </w:rPr>
        <w:t>联系人：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高</w:t>
      </w:r>
      <w:r>
        <w:rPr>
          <w:rFonts w:hint="eastAsia" w:ascii="仿宋_GB2312" w:eastAsia="仿宋_GB2312"/>
          <w:color w:val="000000"/>
          <w:sz w:val="32"/>
          <w:szCs w:val="32"/>
        </w:rPr>
        <w:t>老师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联系电话：84778417。</w:t>
      </w:r>
    </w:p>
    <w:p w14:paraId="402E980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课题立项</w:t>
      </w:r>
    </w:p>
    <w:p w14:paraId="1D830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根据课题管理办法，课题立项涉及资格审查、专家评审、立项公示及发布等环节。课题评审将遵循公平、公正、规范的原则，科研处将对课题进行资格审查，报北京市职业教育社进行初审和推荐，中华职业教育社总社组织专家对通过初审的课题进行评审，拟定年度立项课题名单，经公示无异议后正式发布立项通知。</w:t>
      </w:r>
    </w:p>
    <w:p w14:paraId="73B33EAE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0795E918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附件：</w:t>
      </w:r>
    </w:p>
    <w:p w14:paraId="571FD449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1.中华职业教育社2026年度规划课题申报书</w:t>
      </w:r>
    </w:p>
    <w:p w14:paraId="50F1C6BF">
      <w:pPr>
        <w:numPr>
          <w:numId w:val="0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2.中华职业教育社2026年度规划课题活页</w:t>
      </w:r>
    </w:p>
    <w:p w14:paraId="0C0B37AB">
      <w:pPr>
        <w:numPr>
          <w:numId w:val="0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3.中华职业教育社规划课题管理办法</w:t>
      </w:r>
    </w:p>
    <w:p w14:paraId="6214000F">
      <w:pPr>
        <w:numPr>
          <w:numId w:val="0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4.中华职业教育社2026年度规划课题初审指南</w:t>
      </w:r>
    </w:p>
    <w:p w14:paraId="5A58FB16">
      <w:pPr>
        <w:numPr>
          <w:numId w:val="0"/>
        </w:num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5.2026年中华职教总社年度规划项目申报汇总表</w:t>
      </w:r>
    </w:p>
    <w:p w14:paraId="62EAA7F8">
      <w:pPr>
        <w:spacing w:line="360" w:lineRule="auto"/>
        <w:ind w:firstLine="5120" w:firstLineChars="1600"/>
        <w:rPr>
          <w:rFonts w:ascii="仿宋_GB2312" w:eastAsia="仿宋_GB2312"/>
          <w:color w:val="000000"/>
          <w:sz w:val="32"/>
          <w:szCs w:val="32"/>
        </w:rPr>
      </w:pPr>
    </w:p>
    <w:p w14:paraId="5F3AD19F">
      <w:pPr>
        <w:spacing w:line="360" w:lineRule="auto"/>
        <w:ind w:firstLine="4160" w:firstLineChars="13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北京青年政治学院</w:t>
      </w:r>
      <w:r>
        <w:rPr>
          <w:rFonts w:hint="eastAsia" w:ascii="仿宋_GB2312" w:eastAsia="仿宋_GB2312"/>
          <w:color w:val="000000"/>
          <w:sz w:val="32"/>
          <w:szCs w:val="32"/>
        </w:rPr>
        <w:t>科研处</w:t>
      </w:r>
    </w:p>
    <w:tbl>
      <w:tblPr>
        <w:tblStyle w:val="6"/>
        <w:tblpPr w:leftFromText="180" w:rightFromText="180" w:vertAnchor="text" w:horzAnchor="page" w:tblpX="1788" w:tblpY="9651"/>
        <w:tblW w:w="492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3"/>
      </w:tblGrid>
      <w:tr w14:paraId="6C5FC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50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0D94B0">
            <w:pPr>
              <w:spacing w:line="360" w:lineRule="auto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北京青年政治学院科研处        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日印发</w:t>
            </w:r>
          </w:p>
        </w:tc>
      </w:tr>
    </w:tbl>
    <w:p w14:paraId="64FF6C26">
      <w:pPr>
        <w:spacing w:line="360" w:lineRule="auto"/>
        <w:ind w:firstLine="4480" w:firstLineChars="14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22</w:t>
      </w:r>
      <w:r>
        <w:rPr>
          <w:rFonts w:ascii="仿宋_GB2312" w:eastAsia="仿宋_GB2312"/>
          <w:color w:val="000000"/>
          <w:sz w:val="32"/>
          <w:szCs w:val="32"/>
        </w:rPr>
        <w:t>日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</w:t>
      </w:r>
    </w:p>
    <w:sectPr>
      <w:headerReference r:id="rId3" w:type="default"/>
      <w:pgSz w:w="11907" w:h="16840"/>
      <w:pgMar w:top="1474" w:right="1797" w:bottom="147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1AD32A-692D-483A-9DAD-E07416CDCE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11C7F18C-6C7A-49BA-A8BC-B9F7DC07544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A0EE5D25-421C-4ECD-8C5E-645E8B48E4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CCED77F-9A74-4B05-ADF0-8DFD427BD5B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CAFA7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010D89"/>
    <w:multiLevelType w:val="singleLevel"/>
    <w:tmpl w:val="83010D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34B841B"/>
    <w:multiLevelType w:val="singleLevel"/>
    <w:tmpl w:val="A34B841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B6FBE50D"/>
    <w:multiLevelType w:val="singleLevel"/>
    <w:tmpl w:val="B6FBE50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994C4C4"/>
    <w:multiLevelType w:val="singleLevel"/>
    <w:tmpl w:val="6994C4C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08"/>
    <w:rsid w:val="00004C0E"/>
    <w:rsid w:val="00004C3F"/>
    <w:rsid w:val="0000687C"/>
    <w:rsid w:val="00042E58"/>
    <w:rsid w:val="00064AD9"/>
    <w:rsid w:val="000D0FD4"/>
    <w:rsid w:val="001074FE"/>
    <w:rsid w:val="0013711B"/>
    <w:rsid w:val="00181A18"/>
    <w:rsid w:val="001D1125"/>
    <w:rsid w:val="00220C69"/>
    <w:rsid w:val="0023565C"/>
    <w:rsid w:val="002463A4"/>
    <w:rsid w:val="002513FF"/>
    <w:rsid w:val="00253D65"/>
    <w:rsid w:val="00262971"/>
    <w:rsid w:val="0029281C"/>
    <w:rsid w:val="00294F62"/>
    <w:rsid w:val="002A0EF7"/>
    <w:rsid w:val="002C546F"/>
    <w:rsid w:val="00305A05"/>
    <w:rsid w:val="0033364B"/>
    <w:rsid w:val="00383365"/>
    <w:rsid w:val="00394AFF"/>
    <w:rsid w:val="003A7727"/>
    <w:rsid w:val="003F6B31"/>
    <w:rsid w:val="0040602F"/>
    <w:rsid w:val="00432404"/>
    <w:rsid w:val="00470425"/>
    <w:rsid w:val="0049379C"/>
    <w:rsid w:val="004A7833"/>
    <w:rsid w:val="004D737F"/>
    <w:rsid w:val="004E3C08"/>
    <w:rsid w:val="00533938"/>
    <w:rsid w:val="0053485C"/>
    <w:rsid w:val="00547B51"/>
    <w:rsid w:val="00555DC5"/>
    <w:rsid w:val="0057148D"/>
    <w:rsid w:val="00574F0D"/>
    <w:rsid w:val="005B18DC"/>
    <w:rsid w:val="005E442B"/>
    <w:rsid w:val="00617938"/>
    <w:rsid w:val="006238A6"/>
    <w:rsid w:val="00643063"/>
    <w:rsid w:val="0065690A"/>
    <w:rsid w:val="006642AA"/>
    <w:rsid w:val="006734EC"/>
    <w:rsid w:val="006833D5"/>
    <w:rsid w:val="00687ACE"/>
    <w:rsid w:val="006B7F20"/>
    <w:rsid w:val="0073398F"/>
    <w:rsid w:val="00777AFC"/>
    <w:rsid w:val="007871F7"/>
    <w:rsid w:val="007B7C8E"/>
    <w:rsid w:val="008310E8"/>
    <w:rsid w:val="00833A17"/>
    <w:rsid w:val="00870900"/>
    <w:rsid w:val="00897850"/>
    <w:rsid w:val="008B224E"/>
    <w:rsid w:val="00901E67"/>
    <w:rsid w:val="009063B6"/>
    <w:rsid w:val="009238E7"/>
    <w:rsid w:val="009246E0"/>
    <w:rsid w:val="0093164F"/>
    <w:rsid w:val="0097084F"/>
    <w:rsid w:val="009B41F1"/>
    <w:rsid w:val="009C0C3F"/>
    <w:rsid w:val="009C347E"/>
    <w:rsid w:val="009C3E35"/>
    <w:rsid w:val="009D37BC"/>
    <w:rsid w:val="009E2364"/>
    <w:rsid w:val="00A22CCF"/>
    <w:rsid w:val="00A22F92"/>
    <w:rsid w:val="00A3679B"/>
    <w:rsid w:val="00AD41DB"/>
    <w:rsid w:val="00AE0E00"/>
    <w:rsid w:val="00AF3EC7"/>
    <w:rsid w:val="00AF7B3C"/>
    <w:rsid w:val="00B27917"/>
    <w:rsid w:val="00B40041"/>
    <w:rsid w:val="00B43E2B"/>
    <w:rsid w:val="00B773E6"/>
    <w:rsid w:val="00B97C94"/>
    <w:rsid w:val="00BD747C"/>
    <w:rsid w:val="00BE665B"/>
    <w:rsid w:val="00C0648C"/>
    <w:rsid w:val="00C34510"/>
    <w:rsid w:val="00C535E4"/>
    <w:rsid w:val="00D00E03"/>
    <w:rsid w:val="00D7366D"/>
    <w:rsid w:val="00D75CAF"/>
    <w:rsid w:val="00D76664"/>
    <w:rsid w:val="00DB1E0F"/>
    <w:rsid w:val="00DC0531"/>
    <w:rsid w:val="00DC1817"/>
    <w:rsid w:val="00DC2BDB"/>
    <w:rsid w:val="00DC348F"/>
    <w:rsid w:val="00DD661B"/>
    <w:rsid w:val="00E007CA"/>
    <w:rsid w:val="00E03CAD"/>
    <w:rsid w:val="00E54DC4"/>
    <w:rsid w:val="00EA5716"/>
    <w:rsid w:val="00EC2323"/>
    <w:rsid w:val="00EE7259"/>
    <w:rsid w:val="00F52C57"/>
    <w:rsid w:val="00F67652"/>
    <w:rsid w:val="00FB02D1"/>
    <w:rsid w:val="00FB1ED1"/>
    <w:rsid w:val="00FC04BC"/>
    <w:rsid w:val="00FD57F9"/>
    <w:rsid w:val="1D4249F3"/>
    <w:rsid w:val="200C447E"/>
    <w:rsid w:val="22D17215"/>
    <w:rsid w:val="27CB515F"/>
    <w:rsid w:val="28C549B0"/>
    <w:rsid w:val="2FF13F81"/>
    <w:rsid w:val="301E6610"/>
    <w:rsid w:val="3056276C"/>
    <w:rsid w:val="33DF3711"/>
    <w:rsid w:val="372C354B"/>
    <w:rsid w:val="39025329"/>
    <w:rsid w:val="3B3C055A"/>
    <w:rsid w:val="3C996E68"/>
    <w:rsid w:val="43F12727"/>
    <w:rsid w:val="48A57EC2"/>
    <w:rsid w:val="4D2964AB"/>
    <w:rsid w:val="4D6039CF"/>
    <w:rsid w:val="55F51E8F"/>
    <w:rsid w:val="59CF46C9"/>
    <w:rsid w:val="65151063"/>
    <w:rsid w:val="71765642"/>
    <w:rsid w:val="75BA6CA7"/>
    <w:rsid w:val="75EA6D2C"/>
    <w:rsid w:val="7F7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qFormat/>
    <w:uiPriority w:val="0"/>
    <w:rPr>
      <w:color w:val="0066CC"/>
      <w:u w:val="none"/>
    </w:rPr>
  </w:style>
  <w:style w:type="paragraph" w:customStyle="1" w:styleId="9">
    <w:name w:val="Char1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292</Words>
  <Characters>355</Characters>
  <Lines>21</Lines>
  <Paragraphs>6</Paragraphs>
  <TotalTime>8</TotalTime>
  <ScaleCrop>false</ScaleCrop>
  <LinksUpToDate>false</LinksUpToDate>
  <CharactersWithSpaces>381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2011-05-04T06:11:00Z</dcterms:created>
  <dc:creator>***</dc:creator>
  <cp:lastModifiedBy>20020008</cp:lastModifiedBy>
  <dcterms:modified xsi:type="dcterms:W3CDTF">2026-05-22T04:37:05Z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eyJoZGlkIjoiOTBhMjY3NTg2NzU3M2EyMGI5ZjViODc3ZDcxOTUxMmEiLCJ1c2VySWQiOiIxNjg0NjAwODkwIn0=</vt:lpwstr>
  </property>
  <property fmtid="{D5CDD505-2E9C-101B-9397-08002B2CF9AE}" pid="4" name="ICV">
    <vt:lpwstr>11BAFED5BBAC418388E065CC7DDA475F_13</vt:lpwstr>
  </property>
</Properties>
</file>