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3F21B">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北京青年政治学院2025年</w:t>
      </w:r>
    </w:p>
    <w:p w14:paraId="5049C858">
      <w:pPr>
        <w:keepNext w:val="0"/>
        <w:keepLines w:val="0"/>
        <w:pageBreakBefore w:val="0"/>
        <w:widowControl w:val="0"/>
        <w:kinsoku/>
        <w:wordWrap/>
        <w:overflowPunct/>
        <w:topLinePunct w:val="0"/>
        <w:autoSpaceDE/>
        <w:autoSpaceDN/>
        <w:bidi w:val="0"/>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无偿献血活动通知暨倡议书</w:t>
      </w:r>
    </w:p>
    <w:p w14:paraId="0B1B9DFE">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sz w:val="32"/>
          <w:szCs w:val="32"/>
        </w:rPr>
      </w:pPr>
    </w:p>
    <w:p w14:paraId="4561ABE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亲爱的同学们：</w:t>
      </w:r>
    </w:p>
    <w:p w14:paraId="2D1FC84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血液是生命的源泉，是医疗救治中不可替代的宝贵资源。每</w:t>
      </w:r>
      <w:r>
        <w:rPr>
          <w:rFonts w:hint="eastAsia" w:ascii="仿宋_GB2312" w:hAnsi="仿宋_GB2312" w:eastAsia="仿宋_GB2312" w:cs="仿宋_GB2312"/>
          <w:color w:val="000000"/>
          <w:sz w:val="32"/>
          <w:szCs w:val="32"/>
          <w:lang w:eastAsia="zh-CN"/>
        </w:rPr>
        <w:t>一滴</w:t>
      </w:r>
      <w:r>
        <w:rPr>
          <w:rFonts w:hint="eastAsia" w:ascii="仿宋_GB2312" w:hAnsi="仿宋_GB2312" w:eastAsia="仿宋_GB2312" w:cs="仿宋_GB2312"/>
          <w:color w:val="000000"/>
          <w:sz w:val="32"/>
          <w:szCs w:val="32"/>
        </w:rPr>
        <w:t>血液都可能挽救一个垂危的生命，守护一个家庭的希望。作为新时代</w:t>
      </w:r>
      <w:r>
        <w:rPr>
          <w:rFonts w:hint="eastAsia" w:ascii="仿宋_GB2312" w:hAnsi="仿宋_GB2312" w:eastAsia="仿宋_GB2312" w:cs="仿宋_GB2312"/>
          <w:color w:val="000000"/>
          <w:sz w:val="32"/>
          <w:szCs w:val="32"/>
          <w:lang w:val="en-US" w:eastAsia="zh-CN"/>
        </w:rPr>
        <w:t>青年</w:t>
      </w:r>
      <w:r>
        <w:rPr>
          <w:rFonts w:hint="eastAsia" w:ascii="仿宋_GB2312" w:hAnsi="仿宋_GB2312" w:eastAsia="仿宋_GB2312" w:cs="仿宋_GB2312"/>
          <w:color w:val="000000"/>
          <w:sz w:val="32"/>
          <w:szCs w:val="32"/>
        </w:rPr>
        <w:t>，我们肩负社会责任，更应弘扬“奉献、友爱、互助、进步”的志愿精神。</w:t>
      </w:r>
    </w:p>
    <w:p w14:paraId="7520EFE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在此，我们向全校</w:t>
      </w:r>
      <w:r>
        <w:rPr>
          <w:rFonts w:hint="eastAsia" w:ascii="仿宋_GB2312" w:hAnsi="仿宋_GB2312" w:eastAsia="仿宋_GB2312" w:cs="仿宋_GB2312"/>
          <w:color w:val="000000"/>
          <w:sz w:val="32"/>
          <w:szCs w:val="32"/>
          <w:lang w:val="en-US" w:eastAsia="zh-CN"/>
        </w:rPr>
        <w:t>学生</w:t>
      </w:r>
      <w:r>
        <w:rPr>
          <w:rFonts w:hint="eastAsia" w:ascii="仿宋_GB2312" w:hAnsi="仿宋_GB2312" w:eastAsia="仿宋_GB2312" w:cs="仿宋_GB2312"/>
          <w:color w:val="000000"/>
          <w:sz w:val="32"/>
          <w:szCs w:val="32"/>
        </w:rPr>
        <w:t>发出倡议：号召党员、团员青年、</w:t>
      </w:r>
      <w:r>
        <w:rPr>
          <w:rFonts w:hint="eastAsia" w:ascii="仿宋_GB2312" w:hAnsi="仿宋_GB2312" w:eastAsia="仿宋_GB2312" w:cs="仿宋_GB2312"/>
          <w:color w:val="000000"/>
          <w:sz w:val="32"/>
          <w:szCs w:val="32"/>
          <w:lang w:val="en-US" w:eastAsia="zh-CN"/>
        </w:rPr>
        <w:t>全校学生</w:t>
      </w:r>
      <w:r>
        <w:rPr>
          <w:rFonts w:hint="eastAsia" w:ascii="仿宋_GB2312" w:hAnsi="仿宋_GB2312" w:eastAsia="仿宋_GB2312" w:cs="仿宋_GB2312"/>
          <w:color w:val="000000"/>
          <w:sz w:val="32"/>
          <w:szCs w:val="32"/>
        </w:rPr>
        <w:t>行动起来，在身体健康允许情况下，积极参加献血活动。您捐献的每一滴血液，都将为亟待救治的患者重燃生命希望，为千千万万个家庭送去团圆的希望。</w:t>
      </w:r>
    </w:p>
    <w:p w14:paraId="149EFC4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一、工作安排</w:t>
      </w:r>
    </w:p>
    <w:p w14:paraId="4B26FB8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b w:val="0"/>
          <w:bCs w:val="0"/>
          <w:color w:val="000000"/>
          <w:sz w:val="32"/>
          <w:szCs w:val="32"/>
          <w:lang w:val="en-US" w:eastAsia="zh-CN"/>
        </w:rPr>
        <w:t>（一）活动报名</w:t>
      </w:r>
    </w:p>
    <w:p w14:paraId="2AEC113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各二级学院通过</w:t>
      </w:r>
      <w:r>
        <w:rPr>
          <w:rFonts w:hint="eastAsia" w:ascii="仿宋_GB2312" w:hAnsi="仿宋_GB2312" w:eastAsia="仿宋_GB2312" w:cs="仿宋_GB2312"/>
          <w:b/>
          <w:bCs/>
          <w:color w:val="000000"/>
          <w:sz w:val="32"/>
          <w:szCs w:val="32"/>
          <w:lang w:val="en-US" w:eastAsia="zh-CN"/>
        </w:rPr>
        <w:t>“到梦空间”平台</w:t>
      </w:r>
      <w:r>
        <w:rPr>
          <w:rFonts w:hint="eastAsia" w:ascii="仿宋_GB2312" w:hAnsi="仿宋_GB2312" w:eastAsia="仿宋_GB2312" w:cs="仿宋_GB2312"/>
          <w:color w:val="000000"/>
          <w:sz w:val="32"/>
          <w:szCs w:val="32"/>
          <w:lang w:val="en-US" w:eastAsia="zh-CN"/>
        </w:rPr>
        <w:t>建立活动报名通道，组织学生自愿报名参加。报名时间</w:t>
      </w:r>
      <w:r>
        <w:rPr>
          <w:rFonts w:hint="eastAsia" w:ascii="仿宋_GB2312" w:hAnsi="仿宋_GB2312" w:eastAsia="仿宋_GB2312" w:cs="仿宋_GB2312"/>
          <w:b/>
          <w:bCs/>
          <w:color w:val="000000"/>
          <w:sz w:val="32"/>
          <w:szCs w:val="32"/>
          <w:lang w:val="en-US" w:eastAsia="zh-CN"/>
        </w:rPr>
        <w:t>即日起至2025年11月26日</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b/>
          <w:bCs/>
          <w:color w:val="000000"/>
          <w:sz w:val="32"/>
          <w:szCs w:val="32"/>
          <w:lang w:val="en-US" w:eastAsia="zh-CN"/>
        </w:rPr>
        <w:t>献血当天需携带本人有效身份证件及校园卡</w:t>
      </w:r>
      <w:r>
        <w:rPr>
          <w:rFonts w:hint="eastAsia" w:ascii="仿宋_GB2312" w:hAnsi="仿宋_GB2312" w:eastAsia="仿宋_GB2312" w:cs="仿宋_GB2312"/>
          <w:color w:val="000000"/>
          <w:sz w:val="32"/>
          <w:szCs w:val="32"/>
          <w:lang w:val="en-US" w:eastAsia="zh-CN"/>
        </w:rPr>
        <w:t>，以便核实身份信息并完成献血登记。具体报名指标分配如下：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6"/>
        <w:gridCol w:w="2268"/>
        <w:gridCol w:w="2268"/>
      </w:tblGrid>
      <w:tr w14:paraId="1C8F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2906" w:type="dxa"/>
            <w:noWrap w:val="0"/>
            <w:vAlign w:val="center"/>
          </w:tcPr>
          <w:p w14:paraId="28E60070">
            <w:pPr>
              <w:jc w:val="center"/>
              <w:rPr>
                <w:rFonts w:hint="eastAsia" w:ascii="仿宋" w:hAnsi="仿宋" w:eastAsia="仿宋"/>
                <w:b/>
                <w:color w:val="000000"/>
                <w:sz w:val="32"/>
                <w:szCs w:val="32"/>
              </w:rPr>
            </w:pPr>
            <w:r>
              <w:rPr>
                <w:rFonts w:hint="eastAsia" w:ascii="仿宋" w:hAnsi="仿宋" w:eastAsia="仿宋" w:cs="仿宋_GB2312"/>
                <w:b/>
                <w:bCs/>
                <w:sz w:val="32"/>
                <w:szCs w:val="32"/>
                <w:lang w:eastAsia="zh-CN"/>
              </w:rPr>
              <w:t>二级学院</w:t>
            </w:r>
          </w:p>
        </w:tc>
        <w:tc>
          <w:tcPr>
            <w:tcW w:w="2268" w:type="dxa"/>
            <w:noWrap w:val="0"/>
            <w:vAlign w:val="center"/>
          </w:tcPr>
          <w:p w14:paraId="0C50CB8C">
            <w:pPr>
              <w:jc w:val="center"/>
              <w:rPr>
                <w:rFonts w:hint="eastAsia" w:ascii="仿宋" w:hAnsi="仿宋" w:eastAsia="仿宋"/>
                <w:b/>
                <w:color w:val="000000"/>
                <w:sz w:val="32"/>
                <w:szCs w:val="32"/>
                <w:lang w:eastAsia="zh-CN"/>
              </w:rPr>
            </w:pPr>
            <w:r>
              <w:rPr>
                <w:rFonts w:hint="eastAsia" w:ascii="仿宋" w:hAnsi="仿宋" w:eastAsia="仿宋"/>
                <w:b/>
                <w:color w:val="000000"/>
                <w:sz w:val="32"/>
                <w:szCs w:val="32"/>
                <w:lang w:val="en-US" w:eastAsia="zh-CN"/>
              </w:rPr>
              <w:t>在校生数</w:t>
            </w:r>
          </w:p>
        </w:tc>
        <w:tc>
          <w:tcPr>
            <w:tcW w:w="2268" w:type="dxa"/>
            <w:noWrap w:val="0"/>
            <w:vAlign w:val="center"/>
          </w:tcPr>
          <w:p w14:paraId="33C7D120">
            <w:pPr>
              <w:jc w:val="center"/>
              <w:rPr>
                <w:rFonts w:hint="default" w:ascii="仿宋" w:hAnsi="仿宋" w:eastAsia="仿宋"/>
                <w:b/>
                <w:sz w:val="32"/>
                <w:szCs w:val="32"/>
                <w:lang w:val="en-US" w:eastAsia="zh-CN"/>
              </w:rPr>
            </w:pPr>
            <w:r>
              <w:rPr>
                <w:rFonts w:hint="eastAsia" w:ascii="仿宋" w:hAnsi="仿宋" w:eastAsia="仿宋"/>
                <w:b/>
                <w:sz w:val="32"/>
                <w:szCs w:val="32"/>
              </w:rPr>
              <w:t>建议</w:t>
            </w:r>
            <w:r>
              <w:rPr>
                <w:rFonts w:hint="eastAsia" w:ascii="仿宋" w:hAnsi="仿宋" w:eastAsia="仿宋"/>
                <w:b/>
                <w:sz w:val="32"/>
                <w:szCs w:val="32"/>
                <w:lang w:val="en-US" w:eastAsia="zh-CN"/>
              </w:rPr>
              <w:t>报名数</w:t>
            </w:r>
          </w:p>
        </w:tc>
      </w:tr>
      <w:tr w14:paraId="2099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2906" w:type="dxa"/>
            <w:noWrap w:val="0"/>
            <w:vAlign w:val="center"/>
          </w:tcPr>
          <w:p w14:paraId="556C5B8D">
            <w:pPr>
              <w:jc w:val="center"/>
              <w:rPr>
                <w:rFonts w:hint="eastAsia" w:ascii="仿宋" w:hAnsi="仿宋" w:eastAsia="仿宋"/>
                <w:bCs/>
                <w:sz w:val="32"/>
                <w:szCs w:val="32"/>
                <w:lang w:eastAsia="zh-CN"/>
              </w:rPr>
            </w:pPr>
            <w:r>
              <w:rPr>
                <w:rFonts w:hint="eastAsia" w:ascii="仿宋" w:hAnsi="仿宋" w:eastAsia="仿宋"/>
                <w:bCs/>
                <w:sz w:val="32"/>
                <w:szCs w:val="32"/>
                <w:lang w:eastAsia="zh-CN"/>
              </w:rPr>
              <w:t>青年工作学院</w:t>
            </w:r>
          </w:p>
        </w:tc>
        <w:tc>
          <w:tcPr>
            <w:tcW w:w="2268" w:type="dxa"/>
            <w:noWrap w:val="0"/>
            <w:vAlign w:val="center"/>
          </w:tcPr>
          <w:p w14:paraId="1B79E99F">
            <w:pPr>
              <w:jc w:val="center"/>
              <w:rPr>
                <w:rFonts w:hint="default" w:ascii="仿宋" w:hAnsi="仿宋" w:eastAsia="仿宋" w:cs="宋体"/>
                <w:bCs/>
                <w:iCs/>
                <w:sz w:val="32"/>
                <w:szCs w:val="32"/>
                <w:lang w:val="en-US" w:eastAsia="zh-CN"/>
              </w:rPr>
            </w:pPr>
            <w:r>
              <w:rPr>
                <w:rFonts w:hint="eastAsia" w:ascii="仿宋" w:hAnsi="仿宋" w:eastAsia="仿宋" w:cs="宋体"/>
                <w:bCs/>
                <w:iCs/>
                <w:sz w:val="32"/>
                <w:szCs w:val="32"/>
                <w:lang w:val="en-US" w:eastAsia="zh-CN"/>
              </w:rPr>
              <w:t>578</w:t>
            </w:r>
          </w:p>
        </w:tc>
        <w:tc>
          <w:tcPr>
            <w:tcW w:w="2268" w:type="dxa"/>
            <w:noWrap w:val="0"/>
            <w:vAlign w:val="center"/>
          </w:tcPr>
          <w:p w14:paraId="1AA30CCA">
            <w:pPr>
              <w:jc w:val="center"/>
              <w:rPr>
                <w:rFonts w:hint="default" w:ascii="仿宋" w:hAnsi="仿宋" w:eastAsia="仿宋" w:cs="宋体"/>
                <w:bCs/>
                <w:sz w:val="32"/>
                <w:szCs w:val="32"/>
                <w:lang w:val="en-US" w:eastAsia="zh-CN"/>
              </w:rPr>
            </w:pPr>
            <w:r>
              <w:rPr>
                <w:rFonts w:hint="eastAsia" w:ascii="仿宋" w:hAnsi="仿宋" w:eastAsia="仿宋" w:cs="宋体"/>
                <w:bCs/>
                <w:sz w:val="32"/>
                <w:szCs w:val="32"/>
                <w:lang w:val="en-US" w:eastAsia="zh-CN"/>
              </w:rPr>
              <w:t>100</w:t>
            </w:r>
          </w:p>
        </w:tc>
      </w:tr>
      <w:tr w14:paraId="3CAB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2906" w:type="dxa"/>
            <w:noWrap w:val="0"/>
            <w:vAlign w:val="center"/>
          </w:tcPr>
          <w:p w14:paraId="2C71B715">
            <w:pPr>
              <w:jc w:val="center"/>
              <w:rPr>
                <w:rFonts w:hint="eastAsia" w:ascii="仿宋" w:hAnsi="仿宋" w:eastAsia="仿宋"/>
                <w:bCs/>
                <w:sz w:val="32"/>
                <w:szCs w:val="32"/>
                <w:lang w:eastAsia="zh-CN"/>
              </w:rPr>
            </w:pPr>
            <w:r>
              <w:rPr>
                <w:rFonts w:hint="eastAsia" w:ascii="仿宋" w:hAnsi="仿宋" w:eastAsia="仿宋"/>
                <w:bCs/>
                <w:sz w:val="32"/>
                <w:szCs w:val="32"/>
                <w:lang w:eastAsia="zh-CN"/>
              </w:rPr>
              <w:t>学前教育学院</w:t>
            </w:r>
          </w:p>
        </w:tc>
        <w:tc>
          <w:tcPr>
            <w:tcW w:w="2268" w:type="dxa"/>
            <w:noWrap w:val="0"/>
            <w:vAlign w:val="center"/>
          </w:tcPr>
          <w:p w14:paraId="322AB4E1">
            <w:pPr>
              <w:jc w:val="center"/>
              <w:rPr>
                <w:rFonts w:hint="default" w:ascii="仿宋" w:hAnsi="仿宋" w:eastAsia="仿宋" w:cs="宋体"/>
                <w:bCs/>
                <w:iCs/>
                <w:sz w:val="32"/>
                <w:szCs w:val="32"/>
                <w:lang w:val="en-US" w:eastAsia="zh-CN"/>
              </w:rPr>
            </w:pPr>
            <w:r>
              <w:rPr>
                <w:rFonts w:hint="eastAsia" w:ascii="仿宋" w:hAnsi="仿宋" w:eastAsia="仿宋" w:cs="宋体"/>
                <w:bCs/>
                <w:iCs/>
                <w:sz w:val="32"/>
                <w:szCs w:val="32"/>
                <w:lang w:val="en-US" w:eastAsia="zh-CN"/>
              </w:rPr>
              <w:t>708</w:t>
            </w:r>
          </w:p>
        </w:tc>
        <w:tc>
          <w:tcPr>
            <w:tcW w:w="2268" w:type="dxa"/>
            <w:noWrap w:val="0"/>
            <w:vAlign w:val="center"/>
          </w:tcPr>
          <w:p w14:paraId="7583A9D3">
            <w:pPr>
              <w:jc w:val="center"/>
              <w:rPr>
                <w:rFonts w:hint="default" w:ascii="仿宋" w:hAnsi="仿宋" w:eastAsia="仿宋" w:cs="宋体"/>
                <w:bCs/>
                <w:sz w:val="32"/>
                <w:szCs w:val="32"/>
                <w:lang w:val="en-US" w:eastAsia="zh-CN"/>
              </w:rPr>
            </w:pPr>
            <w:r>
              <w:rPr>
                <w:rFonts w:hint="eastAsia" w:ascii="仿宋" w:hAnsi="仿宋" w:eastAsia="仿宋" w:cs="宋体"/>
                <w:bCs/>
                <w:sz w:val="32"/>
                <w:szCs w:val="32"/>
                <w:lang w:val="en-US" w:eastAsia="zh-CN"/>
              </w:rPr>
              <w:t>120</w:t>
            </w:r>
          </w:p>
        </w:tc>
      </w:tr>
      <w:tr w14:paraId="5A44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2906" w:type="dxa"/>
            <w:noWrap w:val="0"/>
            <w:vAlign w:val="center"/>
          </w:tcPr>
          <w:p w14:paraId="38238983">
            <w:pPr>
              <w:jc w:val="center"/>
              <w:rPr>
                <w:rFonts w:hint="eastAsia" w:ascii="仿宋" w:hAnsi="仿宋" w:eastAsia="仿宋"/>
                <w:bCs/>
                <w:sz w:val="32"/>
                <w:szCs w:val="32"/>
                <w:lang w:eastAsia="zh-CN"/>
              </w:rPr>
            </w:pPr>
            <w:r>
              <w:rPr>
                <w:rFonts w:hint="eastAsia" w:ascii="仿宋" w:hAnsi="仿宋" w:eastAsia="仿宋"/>
                <w:bCs/>
                <w:sz w:val="32"/>
                <w:szCs w:val="32"/>
                <w:lang w:eastAsia="zh-CN"/>
              </w:rPr>
              <w:t>信息传媒艺术学院</w:t>
            </w:r>
          </w:p>
        </w:tc>
        <w:tc>
          <w:tcPr>
            <w:tcW w:w="2268" w:type="dxa"/>
            <w:noWrap w:val="0"/>
            <w:vAlign w:val="center"/>
          </w:tcPr>
          <w:p w14:paraId="1BAF5AF5">
            <w:pPr>
              <w:jc w:val="center"/>
              <w:rPr>
                <w:rFonts w:hint="default" w:ascii="仿宋" w:hAnsi="仿宋" w:eastAsia="仿宋" w:cs="宋体"/>
                <w:bCs/>
                <w:iCs/>
                <w:sz w:val="32"/>
                <w:szCs w:val="32"/>
                <w:lang w:val="en-US" w:eastAsia="zh-CN"/>
              </w:rPr>
            </w:pPr>
            <w:r>
              <w:rPr>
                <w:rFonts w:hint="eastAsia" w:ascii="仿宋" w:hAnsi="仿宋" w:eastAsia="仿宋" w:cs="宋体"/>
                <w:bCs/>
                <w:iCs/>
                <w:sz w:val="32"/>
                <w:szCs w:val="32"/>
                <w:lang w:val="en-US" w:eastAsia="zh-CN"/>
              </w:rPr>
              <w:t>606</w:t>
            </w:r>
          </w:p>
        </w:tc>
        <w:tc>
          <w:tcPr>
            <w:tcW w:w="2268" w:type="dxa"/>
            <w:noWrap w:val="0"/>
            <w:vAlign w:val="center"/>
          </w:tcPr>
          <w:p w14:paraId="5F27379D">
            <w:pPr>
              <w:jc w:val="center"/>
              <w:rPr>
                <w:rFonts w:hint="default" w:ascii="仿宋" w:hAnsi="仿宋" w:eastAsia="仿宋" w:cs="宋体"/>
                <w:bCs/>
                <w:sz w:val="32"/>
                <w:szCs w:val="32"/>
                <w:lang w:val="en-US" w:eastAsia="zh-CN"/>
              </w:rPr>
            </w:pPr>
            <w:r>
              <w:rPr>
                <w:rFonts w:hint="eastAsia" w:ascii="仿宋" w:hAnsi="仿宋" w:eastAsia="仿宋" w:cs="宋体"/>
                <w:bCs/>
                <w:sz w:val="32"/>
                <w:szCs w:val="32"/>
                <w:lang w:val="en-US" w:eastAsia="zh-CN"/>
              </w:rPr>
              <w:t>100</w:t>
            </w:r>
          </w:p>
        </w:tc>
      </w:tr>
      <w:tr w14:paraId="0A44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2906" w:type="dxa"/>
            <w:noWrap w:val="0"/>
            <w:vAlign w:val="center"/>
          </w:tcPr>
          <w:p w14:paraId="2E31DFF6">
            <w:pPr>
              <w:jc w:val="center"/>
              <w:rPr>
                <w:rFonts w:hint="eastAsia" w:ascii="仿宋" w:hAnsi="仿宋" w:eastAsia="仿宋"/>
                <w:bCs/>
                <w:sz w:val="32"/>
                <w:szCs w:val="32"/>
                <w:lang w:eastAsia="zh-CN"/>
              </w:rPr>
            </w:pPr>
            <w:r>
              <w:rPr>
                <w:rFonts w:hint="eastAsia" w:ascii="仿宋" w:hAnsi="仿宋" w:eastAsia="仿宋"/>
                <w:bCs/>
                <w:sz w:val="32"/>
                <w:szCs w:val="32"/>
                <w:lang w:eastAsia="zh-CN"/>
              </w:rPr>
              <w:t>现代管理学院</w:t>
            </w:r>
          </w:p>
        </w:tc>
        <w:tc>
          <w:tcPr>
            <w:tcW w:w="2268" w:type="dxa"/>
            <w:noWrap w:val="0"/>
            <w:vAlign w:val="center"/>
          </w:tcPr>
          <w:p w14:paraId="43AF12DF">
            <w:pPr>
              <w:jc w:val="center"/>
              <w:rPr>
                <w:rFonts w:hint="default" w:ascii="仿宋" w:hAnsi="仿宋" w:eastAsia="仿宋" w:cs="宋体"/>
                <w:bCs/>
                <w:iCs/>
                <w:sz w:val="32"/>
                <w:szCs w:val="32"/>
                <w:lang w:val="en-US" w:eastAsia="zh-CN"/>
              </w:rPr>
            </w:pPr>
            <w:r>
              <w:rPr>
                <w:rFonts w:hint="eastAsia" w:ascii="仿宋" w:hAnsi="仿宋" w:eastAsia="仿宋" w:cs="宋体"/>
                <w:bCs/>
                <w:iCs/>
                <w:sz w:val="32"/>
                <w:szCs w:val="32"/>
                <w:lang w:val="en-US" w:eastAsia="zh-CN"/>
              </w:rPr>
              <w:t>502</w:t>
            </w:r>
          </w:p>
        </w:tc>
        <w:tc>
          <w:tcPr>
            <w:tcW w:w="2268" w:type="dxa"/>
            <w:noWrap w:val="0"/>
            <w:vAlign w:val="center"/>
          </w:tcPr>
          <w:p w14:paraId="22B597B3">
            <w:pPr>
              <w:jc w:val="center"/>
              <w:rPr>
                <w:rFonts w:hint="default" w:ascii="仿宋" w:hAnsi="仿宋" w:eastAsia="仿宋" w:cs="宋体"/>
                <w:bCs/>
                <w:sz w:val="32"/>
                <w:szCs w:val="32"/>
                <w:lang w:val="en-US" w:eastAsia="zh-CN"/>
              </w:rPr>
            </w:pPr>
            <w:r>
              <w:rPr>
                <w:rFonts w:hint="eastAsia" w:ascii="仿宋" w:hAnsi="仿宋" w:eastAsia="仿宋" w:cs="宋体"/>
                <w:bCs/>
                <w:sz w:val="32"/>
                <w:szCs w:val="32"/>
                <w:lang w:val="en-US" w:eastAsia="zh-CN"/>
              </w:rPr>
              <w:t>80</w:t>
            </w:r>
          </w:p>
        </w:tc>
      </w:tr>
      <w:tr w14:paraId="1E43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2906" w:type="dxa"/>
            <w:noWrap w:val="0"/>
            <w:vAlign w:val="center"/>
          </w:tcPr>
          <w:p w14:paraId="698AA5BD">
            <w:pPr>
              <w:jc w:val="center"/>
              <w:rPr>
                <w:rFonts w:hint="eastAsia" w:ascii="仿宋" w:hAnsi="仿宋" w:eastAsia="仿宋"/>
                <w:bCs/>
                <w:sz w:val="32"/>
                <w:szCs w:val="32"/>
                <w:lang w:eastAsia="zh-CN"/>
              </w:rPr>
            </w:pPr>
            <w:r>
              <w:rPr>
                <w:rFonts w:hint="eastAsia" w:ascii="仿宋" w:hAnsi="仿宋" w:eastAsia="仿宋"/>
                <w:bCs/>
                <w:sz w:val="32"/>
                <w:szCs w:val="32"/>
                <w:lang w:eastAsia="zh-CN"/>
              </w:rPr>
              <w:t>国际学院</w:t>
            </w:r>
          </w:p>
        </w:tc>
        <w:tc>
          <w:tcPr>
            <w:tcW w:w="2268" w:type="dxa"/>
            <w:noWrap w:val="0"/>
            <w:vAlign w:val="center"/>
          </w:tcPr>
          <w:p w14:paraId="70859E94">
            <w:pPr>
              <w:jc w:val="center"/>
              <w:rPr>
                <w:rFonts w:hint="default" w:ascii="仿宋" w:hAnsi="仿宋" w:eastAsia="仿宋" w:cs="宋体"/>
                <w:bCs/>
                <w:iCs/>
                <w:sz w:val="32"/>
                <w:szCs w:val="32"/>
                <w:lang w:val="en-US" w:eastAsia="zh-CN"/>
              </w:rPr>
            </w:pPr>
            <w:r>
              <w:rPr>
                <w:rFonts w:hint="eastAsia" w:ascii="仿宋" w:hAnsi="仿宋" w:eastAsia="仿宋" w:cs="宋体"/>
                <w:bCs/>
                <w:iCs/>
                <w:sz w:val="32"/>
                <w:szCs w:val="32"/>
                <w:lang w:val="en-US" w:eastAsia="zh-CN"/>
              </w:rPr>
              <w:t>342</w:t>
            </w:r>
          </w:p>
        </w:tc>
        <w:tc>
          <w:tcPr>
            <w:tcW w:w="2268" w:type="dxa"/>
            <w:noWrap w:val="0"/>
            <w:vAlign w:val="center"/>
          </w:tcPr>
          <w:p w14:paraId="0FC38A42">
            <w:pPr>
              <w:jc w:val="center"/>
              <w:rPr>
                <w:rFonts w:hint="default" w:ascii="仿宋" w:hAnsi="仿宋" w:eastAsia="仿宋" w:cs="宋体"/>
                <w:bCs/>
                <w:sz w:val="32"/>
                <w:szCs w:val="32"/>
                <w:lang w:val="en-US" w:eastAsia="zh-CN"/>
              </w:rPr>
            </w:pPr>
            <w:r>
              <w:rPr>
                <w:rFonts w:hint="eastAsia" w:ascii="仿宋" w:hAnsi="仿宋" w:eastAsia="仿宋" w:cs="宋体"/>
                <w:bCs/>
                <w:sz w:val="32"/>
                <w:szCs w:val="32"/>
                <w:lang w:val="en-US" w:eastAsia="zh-CN"/>
              </w:rPr>
              <w:t>60</w:t>
            </w:r>
          </w:p>
        </w:tc>
      </w:tr>
    </w:tbl>
    <w:p w14:paraId="4EFA8A9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b w:val="0"/>
          <w:bCs w:val="0"/>
          <w:color w:val="000000"/>
          <w:sz w:val="32"/>
          <w:szCs w:val="32"/>
          <w:lang w:val="en-US" w:eastAsia="zh-CN"/>
        </w:rPr>
        <w:t>（二）活动时间</w:t>
      </w:r>
    </w:p>
    <w:p w14:paraId="74EB58C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2025年11</w:t>
      </w:r>
      <w:bookmarkStart w:id="0" w:name="_GoBack"/>
      <w:bookmarkEnd w:id="0"/>
      <w:r>
        <w:rPr>
          <w:rFonts w:hint="eastAsia" w:ascii="仿宋_GB2312" w:hAnsi="仿宋_GB2312" w:eastAsia="仿宋_GB2312" w:cs="仿宋_GB2312"/>
          <w:b w:val="0"/>
          <w:bCs w:val="0"/>
          <w:color w:val="000000"/>
          <w:sz w:val="32"/>
          <w:szCs w:val="32"/>
          <w:lang w:val="en-US" w:eastAsia="zh-CN"/>
        </w:rPr>
        <w:t>月26日8:30-15:30</w:t>
      </w:r>
    </w:p>
    <w:p w14:paraId="0A1EA7F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b w:val="0"/>
          <w:bCs w:val="0"/>
          <w:color w:val="000000"/>
          <w:sz w:val="32"/>
          <w:szCs w:val="32"/>
          <w:lang w:val="en-US" w:eastAsia="zh-CN"/>
        </w:rPr>
        <w:t>（三）活动地点</w:t>
      </w:r>
    </w:p>
    <w:p w14:paraId="69A8E50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望京校区4号楼礼堂内。</w:t>
      </w:r>
    </w:p>
    <w:p w14:paraId="3414D2B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二、补助与用血减免政策</w:t>
      </w:r>
    </w:p>
    <w:p w14:paraId="4E31590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成功献血</w:t>
      </w:r>
      <w:r>
        <w:rPr>
          <w:rFonts w:hint="eastAsia" w:ascii="仿宋_GB2312" w:hAnsi="仿宋_GB2312" w:eastAsia="仿宋_GB2312" w:cs="仿宋_GB2312"/>
          <w:color w:val="000000"/>
          <w:sz w:val="32"/>
          <w:szCs w:val="32"/>
          <w:lang w:val="en-US" w:eastAsia="zh-CN"/>
        </w:rPr>
        <w:t>学生</w:t>
      </w:r>
      <w:r>
        <w:rPr>
          <w:rFonts w:hint="eastAsia" w:ascii="仿宋_GB2312" w:hAnsi="仿宋_GB2312" w:eastAsia="仿宋_GB2312" w:cs="仿宋_GB2312"/>
          <w:color w:val="000000"/>
          <w:sz w:val="32"/>
          <w:szCs w:val="32"/>
        </w:rPr>
        <w:t>可领取</w:t>
      </w:r>
      <w:r>
        <w:rPr>
          <w:rFonts w:hint="eastAsia" w:ascii="仿宋_GB2312" w:hAnsi="仿宋_GB2312" w:eastAsia="仿宋_GB2312" w:cs="仿宋_GB2312"/>
          <w:b/>
          <w:bCs/>
          <w:color w:val="000000"/>
          <w:sz w:val="32"/>
          <w:szCs w:val="32"/>
        </w:rPr>
        <w:t>献血证</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lang w:val="en-US" w:eastAsia="zh-CN"/>
        </w:rPr>
        <w:t>营养礼包（</w:t>
      </w:r>
      <w:r>
        <w:rPr>
          <w:rFonts w:hint="eastAsia" w:ascii="仿宋_GB2312" w:hAnsi="仿宋_GB2312" w:eastAsia="仿宋_GB2312" w:cs="仿宋_GB2312"/>
          <w:b w:val="0"/>
          <w:bCs w:val="0"/>
          <w:color w:val="000000"/>
          <w:sz w:val="32"/>
          <w:szCs w:val="32"/>
          <w:lang w:val="en-US" w:eastAsia="zh-CN"/>
        </w:rPr>
        <w:t>价值500元，现场发放</w:t>
      </w:r>
      <w:r>
        <w:rPr>
          <w:rFonts w:hint="eastAsia" w:ascii="仿宋_GB2312" w:hAnsi="仿宋_GB2312" w:eastAsia="仿宋_GB2312" w:cs="仿宋_GB2312"/>
          <w:b/>
          <w:bCs/>
          <w:color w:val="000000"/>
          <w:sz w:val="32"/>
          <w:szCs w:val="32"/>
          <w:lang w:val="en-US" w:eastAsia="zh-CN"/>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b/>
          <w:bCs/>
          <w:color w:val="000000"/>
          <w:sz w:val="32"/>
          <w:szCs w:val="32"/>
          <w:lang w:val="en-US" w:eastAsia="zh-CN"/>
        </w:rPr>
        <w:t>第二课堂学分</w:t>
      </w:r>
      <w:r>
        <w:rPr>
          <w:rFonts w:hint="eastAsia" w:ascii="仿宋_GB2312" w:hAnsi="仿宋_GB2312" w:eastAsia="仿宋_GB2312" w:cs="仿宋_GB2312"/>
          <w:b w:val="0"/>
          <w:bCs w:val="0"/>
          <w:color w:val="000000"/>
          <w:sz w:val="32"/>
          <w:szCs w:val="32"/>
          <w:lang w:val="en-US" w:eastAsia="zh-CN"/>
        </w:rPr>
        <w:t>（2分）</w:t>
      </w:r>
      <w:r>
        <w:rPr>
          <w:rFonts w:hint="eastAsia" w:ascii="仿宋_GB2312" w:hAnsi="仿宋_GB2312" w:eastAsia="仿宋_GB2312" w:cs="仿宋_GB2312"/>
          <w:color w:val="000000"/>
          <w:sz w:val="32"/>
          <w:szCs w:val="32"/>
        </w:rPr>
        <w:t>及</w:t>
      </w:r>
      <w:r>
        <w:rPr>
          <w:rFonts w:hint="eastAsia" w:ascii="仿宋_GB2312" w:hAnsi="仿宋_GB2312" w:eastAsia="仿宋_GB2312" w:cs="仿宋_GB2312"/>
          <w:b/>
          <w:bCs/>
          <w:color w:val="000000"/>
          <w:sz w:val="32"/>
          <w:szCs w:val="32"/>
        </w:rPr>
        <w:t>营养补助</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val="en-US" w:eastAsia="zh-CN"/>
        </w:rPr>
        <w:t>400元/人，活动结束后统一发放至学生本人银行卡中</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并在下一学年</w:t>
      </w:r>
      <w:r>
        <w:rPr>
          <w:rFonts w:hint="eastAsia" w:ascii="仿宋_GB2312" w:hAnsi="仿宋_GB2312" w:eastAsia="仿宋_GB2312" w:cs="仿宋_GB2312"/>
          <w:b/>
          <w:bCs/>
          <w:color w:val="000000"/>
          <w:sz w:val="32"/>
          <w:szCs w:val="32"/>
          <w:lang w:val="en-US" w:eastAsia="zh-CN"/>
        </w:rPr>
        <w:t>“学生质量综合评估”</w:t>
      </w:r>
      <w:r>
        <w:rPr>
          <w:rFonts w:hint="eastAsia" w:ascii="仿宋_GB2312" w:hAnsi="仿宋_GB2312" w:eastAsia="仿宋_GB2312" w:cs="仿宋_GB2312"/>
          <w:b w:val="0"/>
          <w:bCs w:val="0"/>
          <w:color w:val="000000"/>
          <w:sz w:val="32"/>
          <w:szCs w:val="32"/>
          <w:lang w:val="en-US" w:eastAsia="zh-CN"/>
        </w:rPr>
        <w:t>中获得</w:t>
      </w:r>
      <w:r>
        <w:rPr>
          <w:rFonts w:hint="eastAsia" w:ascii="仿宋_GB2312" w:hAnsi="仿宋_GB2312" w:eastAsia="仿宋_GB2312" w:cs="仿宋_GB2312"/>
          <w:b/>
          <w:bCs/>
          <w:color w:val="000000"/>
          <w:sz w:val="32"/>
          <w:szCs w:val="32"/>
          <w:lang w:val="en-US" w:eastAsia="zh-CN"/>
        </w:rPr>
        <w:t>“10分”附加评分加分</w:t>
      </w:r>
      <w:r>
        <w:rPr>
          <w:rFonts w:hint="eastAsia" w:ascii="仿宋_GB2312" w:hAnsi="仿宋_GB2312" w:eastAsia="仿宋_GB2312" w:cs="仿宋_GB2312"/>
          <w:color w:val="000000"/>
          <w:sz w:val="32"/>
          <w:szCs w:val="32"/>
          <w:lang w:eastAsia="zh-CN"/>
        </w:rPr>
        <w:t>。</w:t>
      </w:r>
    </w:p>
    <w:p w14:paraId="612309C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2.参与活动报名，但因身体原因未能成功献血的同学，可凭报名凭证领取</w:t>
      </w:r>
      <w:r>
        <w:rPr>
          <w:rFonts w:hint="eastAsia" w:ascii="仿宋_GB2312" w:hAnsi="仿宋_GB2312" w:eastAsia="仿宋_GB2312" w:cs="仿宋_GB2312"/>
          <w:b/>
          <w:bCs/>
          <w:color w:val="000000"/>
          <w:sz w:val="32"/>
          <w:szCs w:val="32"/>
          <w:lang w:val="en-US" w:eastAsia="zh-CN"/>
        </w:rPr>
        <w:t>精美纪念品1份</w:t>
      </w:r>
      <w:r>
        <w:rPr>
          <w:rFonts w:hint="eastAsia" w:ascii="仿宋_GB2312" w:hAnsi="仿宋_GB2312" w:eastAsia="仿宋_GB2312" w:cs="仿宋_GB2312"/>
          <w:color w:val="000000"/>
          <w:sz w:val="32"/>
          <w:szCs w:val="32"/>
          <w:lang w:val="en-US" w:eastAsia="zh-CN"/>
        </w:rPr>
        <w:t>，并</w:t>
      </w:r>
      <w:r>
        <w:rPr>
          <w:rFonts w:hint="eastAsia" w:ascii="仿宋_GB2312" w:hAnsi="仿宋_GB2312" w:eastAsia="仿宋_GB2312" w:cs="仿宋_GB2312"/>
          <w:b/>
          <w:bCs/>
          <w:color w:val="000000"/>
          <w:sz w:val="32"/>
          <w:szCs w:val="32"/>
          <w:lang w:val="en-US" w:eastAsia="zh-CN"/>
        </w:rPr>
        <w:t>认定参与1次“文体活动”</w:t>
      </w:r>
      <w:r>
        <w:rPr>
          <w:rFonts w:hint="eastAsia" w:ascii="仿宋_GB2312" w:hAnsi="仿宋_GB2312" w:eastAsia="仿宋_GB2312" w:cs="仿宋_GB2312"/>
          <w:color w:val="000000"/>
          <w:sz w:val="32"/>
          <w:szCs w:val="32"/>
          <w:lang w:val="en-US" w:eastAsia="zh-CN"/>
        </w:rPr>
        <w:t>。</w:t>
      </w:r>
    </w:p>
    <w:p w14:paraId="3A9B630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无偿献血者本人及其直系亲属在临床用血时可享受一定的用血优惠政策，具体</w:t>
      </w:r>
      <w:r>
        <w:rPr>
          <w:rFonts w:hint="eastAsia" w:ascii="仿宋_GB2312" w:hAnsi="仿宋_GB2312" w:eastAsia="仿宋_GB2312" w:cs="仿宋_GB2312"/>
          <w:color w:val="000000"/>
          <w:sz w:val="32"/>
          <w:szCs w:val="32"/>
          <w:lang w:val="en-US" w:eastAsia="zh-CN"/>
        </w:rPr>
        <w:t>政策如下：</w:t>
      </w:r>
    </w:p>
    <w:p w14:paraId="4547D7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drawing>
          <wp:inline distT="0" distB="0" distL="114300" distR="114300">
            <wp:extent cx="3239770" cy="4752975"/>
            <wp:effectExtent l="0" t="0" r="11430" b="9525"/>
            <wp:docPr id="19" name="图片 19" descr="北京市献血者用费减免政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北京市献血者用费减免政策"/>
                    <pic:cNvPicPr>
                      <a:picLocks noChangeAspect="1"/>
                    </pic:cNvPicPr>
                  </pic:nvPicPr>
                  <pic:blipFill>
                    <a:blip r:embed="rId7"/>
                    <a:stretch>
                      <a:fillRect/>
                    </a:stretch>
                  </pic:blipFill>
                  <pic:spPr>
                    <a:xfrm>
                      <a:off x="0" y="0"/>
                      <a:ext cx="3239770" cy="4752975"/>
                    </a:xfrm>
                    <a:prstGeom prst="rect">
                      <a:avLst/>
                    </a:prstGeom>
                  </pic:spPr>
                </pic:pic>
              </a:graphicData>
            </a:graphic>
          </wp:inline>
        </w:drawing>
      </w:r>
    </w:p>
    <w:p w14:paraId="6550DAD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五、献血人员体格标准</w:t>
      </w:r>
    </w:p>
    <w:p w14:paraId="1C7F400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《献血者健康检查要求（GB18467-2001）》中规定献血者体格检查必须符合以下要求：</w:t>
      </w:r>
    </w:p>
    <w:p w14:paraId="604E98D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年龄：</w:t>
      </w:r>
      <w:r>
        <w:rPr>
          <w:rFonts w:hint="eastAsia" w:ascii="仿宋_GB2312" w:hAnsi="仿宋_GB2312" w:eastAsia="仿宋_GB2312" w:cs="仿宋_GB2312"/>
          <w:b/>
          <w:bCs/>
          <w:color w:val="000000"/>
          <w:sz w:val="32"/>
          <w:szCs w:val="32"/>
          <w:highlight w:val="none"/>
        </w:rPr>
        <w:t>18～55周岁</w:t>
      </w:r>
      <w:r>
        <w:rPr>
          <w:rFonts w:hint="eastAsia" w:ascii="仿宋_GB2312" w:hAnsi="仿宋_GB2312" w:eastAsia="仿宋_GB2312" w:cs="仿宋_GB2312"/>
          <w:color w:val="000000"/>
          <w:sz w:val="32"/>
          <w:szCs w:val="32"/>
          <w:highlight w:val="none"/>
        </w:rPr>
        <w:t>。</w:t>
      </w:r>
    </w:p>
    <w:p w14:paraId="1E70DC6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体重：</w:t>
      </w:r>
      <w:r>
        <w:rPr>
          <w:rFonts w:hint="eastAsia" w:ascii="仿宋_GB2312" w:hAnsi="仿宋_GB2312" w:eastAsia="仿宋_GB2312" w:cs="仿宋_GB2312"/>
          <w:b/>
          <w:bCs/>
          <w:color w:val="000000"/>
          <w:sz w:val="32"/>
          <w:szCs w:val="32"/>
          <w:highlight w:val="none"/>
        </w:rPr>
        <w:t>男≥50kg，女≥45kg</w:t>
      </w:r>
      <w:r>
        <w:rPr>
          <w:rFonts w:hint="eastAsia" w:ascii="仿宋_GB2312" w:hAnsi="仿宋_GB2312" w:eastAsia="仿宋_GB2312" w:cs="仿宋_GB2312"/>
          <w:color w:val="000000"/>
          <w:sz w:val="32"/>
          <w:szCs w:val="32"/>
          <w:highlight w:val="none"/>
        </w:rPr>
        <w:t>。</w:t>
      </w:r>
    </w:p>
    <w:p w14:paraId="45FBFC5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b/>
          <w:bCs/>
          <w:color w:val="000000"/>
          <w:sz w:val="32"/>
          <w:szCs w:val="32"/>
          <w:highlight w:val="none"/>
        </w:rPr>
        <w:t>两次献血间隔需＞6个月</w:t>
      </w:r>
      <w:r>
        <w:rPr>
          <w:rFonts w:hint="eastAsia" w:ascii="仿宋_GB2312" w:hAnsi="仿宋_GB2312" w:eastAsia="仿宋_GB2312" w:cs="仿宋_GB2312"/>
          <w:color w:val="000000"/>
          <w:sz w:val="32"/>
          <w:szCs w:val="32"/>
          <w:lang w:eastAsia="zh-CN"/>
        </w:rPr>
        <w:t>。</w:t>
      </w:r>
    </w:p>
    <w:p w14:paraId="5C2BC07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4.血压：90mmHg～140mmHg/60mmHg～90mmHg，脉压：≥30mmHg或：12.0kPa～18.7kPa/8.0kPa～12.0kPa，脉压：≥4.0kPa。</w:t>
      </w:r>
    </w:p>
    <w:p w14:paraId="527ECC7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5.脉搏：节律规整，60次～100次/min，高度耐力的运动员≥50次/min。</w:t>
      </w:r>
    </w:p>
    <w:p w14:paraId="1479184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6.体温正常。</w:t>
      </w:r>
    </w:p>
    <w:p w14:paraId="014997C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7.皮肤无黄染，无创面感染，无大面积皮肤病，浅表淋巴结无明显肿大。</w:t>
      </w:r>
    </w:p>
    <w:p w14:paraId="641F577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8.五官无严重疾病，巩膜无黄染，甲状腺不肿大。</w:t>
      </w:r>
    </w:p>
    <w:p w14:paraId="3EFB9B7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9.四肢无严重残疾、无严重功能性障碍及关节无红肿。双臂静脉穿刺部位无皮肤损伤，无静脉注射药物痕迹。</w:t>
      </w:r>
    </w:p>
    <w:p w14:paraId="60D49FE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10.胸部：心肺正常，无病理性呼吸音及病理性心脏杂音，心率60～100次/min。</w:t>
      </w:r>
    </w:p>
    <w:p w14:paraId="32D5811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11.腹部：腹平软、无肿块、无压痛、肝脾不肿大。</w:t>
      </w:r>
    </w:p>
    <w:p w14:paraId="53FDAB7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三、献血注意事项</w:t>
      </w:r>
    </w:p>
    <w:p w14:paraId="54FF6B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drawing>
          <wp:inline distT="0" distB="0" distL="114300" distR="114300">
            <wp:extent cx="3239770" cy="4752975"/>
            <wp:effectExtent l="0" t="0" r="11430" b="9525"/>
            <wp:docPr id="2" name="图片 2" descr="献血注意事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献血注意事项"/>
                    <pic:cNvPicPr>
                      <a:picLocks noChangeAspect="1"/>
                    </pic:cNvPicPr>
                  </pic:nvPicPr>
                  <pic:blipFill>
                    <a:blip r:embed="rId8"/>
                    <a:stretch>
                      <a:fillRect/>
                    </a:stretch>
                  </pic:blipFill>
                  <pic:spPr>
                    <a:xfrm>
                      <a:off x="0" y="0"/>
                      <a:ext cx="3239770" cy="4752975"/>
                    </a:xfrm>
                    <a:prstGeom prst="rect">
                      <a:avLst/>
                    </a:prstGeom>
                  </pic:spPr>
                </pic:pic>
              </a:graphicData>
            </a:graphic>
          </wp:inline>
        </w:drawing>
      </w:r>
    </w:p>
    <w:p w14:paraId="1F924A6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捐献可以再生的血液，挽救不可重来的生命。让我们为爱挽袖、捐献血液，用拳拳爱心点亮生命之光，以实际行动践行人道主义精神，共同谱写新时代社会主义精神文明建设的华彩篇章！</w:t>
      </w:r>
    </w:p>
    <w:p w14:paraId="01E0AB24">
      <w:pPr>
        <w:keepNext w:val="0"/>
        <w:keepLines w:val="0"/>
        <w:pageBreakBefore w:val="0"/>
        <w:widowControl w:val="0"/>
        <w:kinsoku/>
        <w:wordWrap/>
        <w:overflowPunct/>
        <w:topLinePunct w:val="0"/>
        <w:autoSpaceDE/>
        <w:autoSpaceDN/>
        <w:bidi w:val="0"/>
        <w:spacing w:line="560" w:lineRule="exact"/>
        <w:textAlignment w:val="auto"/>
        <w:rPr>
          <w:rFonts w:hint="default" w:ascii="仿宋_GB2312" w:hAnsi="仿宋_GB2312" w:eastAsia="仿宋_GB2312" w:cs="仿宋_GB2312"/>
          <w:color w:val="000000"/>
          <w:sz w:val="32"/>
          <w:szCs w:val="32"/>
          <w:lang w:val="en-US" w:eastAsia="zh-CN"/>
        </w:rPr>
      </w:pPr>
    </w:p>
    <w:p w14:paraId="125415B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附件：1.献血活动流程图</w:t>
      </w:r>
    </w:p>
    <w:p w14:paraId="3A3E9E8E">
      <w:pPr>
        <w:keepNext w:val="0"/>
        <w:keepLines w:val="0"/>
        <w:pageBreakBefore w:val="0"/>
        <w:widowControl w:val="0"/>
        <w:kinsoku/>
        <w:wordWrap/>
        <w:overflowPunct/>
        <w:topLinePunct w:val="0"/>
        <w:autoSpaceDE/>
        <w:autoSpaceDN/>
        <w:bidi w:val="0"/>
        <w:adjustRightInd/>
        <w:snapToGrid/>
        <w:spacing w:line="560" w:lineRule="exact"/>
        <w:ind w:left="945" w:leftChars="45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2.献血活动区位图</w:t>
      </w:r>
    </w:p>
    <w:p w14:paraId="67ABA84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学生工作处</w:t>
      </w:r>
      <w:r>
        <w:rPr>
          <w:rFonts w:hint="eastAsia" w:ascii="仿宋_GB2312" w:hAnsi="仿宋_GB2312" w:eastAsia="仿宋_GB2312" w:cs="仿宋_GB2312"/>
          <w:sz w:val="32"/>
          <w:szCs w:val="32"/>
          <w:lang w:val="en-US" w:eastAsia="zh-CN"/>
        </w:rPr>
        <w:t xml:space="preserve">   </w:t>
      </w:r>
    </w:p>
    <w:p w14:paraId="54ED93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sectPr>
          <w:headerReference r:id="rId3" w:type="default"/>
          <w:footerReference r:id="rId4" w:type="default"/>
          <w:footerReference r:id="rId5" w:type="even"/>
          <w:pgSz w:w="11906" w:h="16838"/>
          <w:pgMar w:top="2098" w:right="1474" w:bottom="1984" w:left="1588" w:header="851" w:footer="992" w:gutter="0"/>
          <w:pgNumType w:fmt="decimal" w:start="1"/>
          <w:cols w:space="720" w:num="1"/>
          <w:docGrid w:type="lines" w:linePitch="312" w:charSpace="0"/>
        </w:sect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w:t>
      </w:r>
    </w:p>
    <w:p w14:paraId="104C81C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2953B1CD">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献血活动流程图</w:t>
      </w:r>
    </w:p>
    <w:p w14:paraId="7A2C9F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32"/>
        </w:rPr>
      </w:pPr>
    </w:p>
    <w:p w14:paraId="1B5509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32"/>
        </w:rPr>
        <w:sectPr>
          <w:pgSz w:w="11906" w:h="16838"/>
          <w:pgMar w:top="2098" w:right="1474" w:bottom="1984" w:left="1588" w:header="851" w:footer="992" w:gutter="0"/>
          <w:pgNumType w:fmt="decimal" w:start="1"/>
          <w:cols w:space="720" w:num="1"/>
          <w:docGrid w:type="lines" w:linePitch="312" w:charSpace="0"/>
        </w:sectPr>
      </w:pPr>
      <w:r>
        <w:drawing>
          <wp:inline distT="0" distB="0" distL="114300" distR="114300">
            <wp:extent cx="5340350" cy="5403850"/>
            <wp:effectExtent l="0" t="0" r="635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340350" cy="5403850"/>
                    </a:xfrm>
                    <a:prstGeom prst="rect">
                      <a:avLst/>
                    </a:prstGeom>
                    <a:noFill/>
                    <a:ln>
                      <a:noFill/>
                    </a:ln>
                  </pic:spPr>
                </pic:pic>
              </a:graphicData>
            </a:graphic>
          </wp:inline>
        </w:drawing>
      </w:r>
    </w:p>
    <w:p w14:paraId="0EADCB4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29802193">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献血活动区位图</w:t>
      </w:r>
    </w:p>
    <w:p w14:paraId="304186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32"/>
          <w:lang w:val="en-US" w:eastAsia="zh-CN"/>
        </w:rPr>
      </w:pPr>
      <w:r>
        <w:rPr>
          <w:rFonts w:hint="eastAsia" w:ascii="方正小标宋简体" w:hAnsi="方正小标宋简体" w:eastAsia="方正小标宋简体" w:cs="方正小标宋简体"/>
          <w:sz w:val="44"/>
          <w:szCs w:val="32"/>
          <w:lang w:val="en-US" w:eastAsia="zh-CN"/>
        </w:rPr>
        <w:drawing>
          <wp:inline distT="0" distB="0" distL="114300" distR="114300">
            <wp:extent cx="7379970" cy="4826635"/>
            <wp:effectExtent l="0" t="0" r="11430" b="12065"/>
            <wp:docPr id="49" name="图片 49" descr="C:/Users/张欣怡/Desktop/微信图片_20251113143807_351_225.png微信图片_20251113143807_351_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Users/张欣怡/Desktop/微信图片_20251113143807_351_225.png微信图片_20251113143807_351_225"/>
                    <pic:cNvPicPr>
                      <a:picLocks noChangeAspect="1"/>
                    </pic:cNvPicPr>
                  </pic:nvPicPr>
                  <pic:blipFill>
                    <a:blip r:embed="rId10"/>
                    <a:srcRect/>
                    <a:stretch>
                      <a:fillRect/>
                    </a:stretch>
                  </pic:blipFill>
                  <pic:spPr>
                    <a:xfrm>
                      <a:off x="0" y="0"/>
                      <a:ext cx="7379970" cy="4826635"/>
                    </a:xfrm>
                    <a:prstGeom prst="rect">
                      <a:avLst/>
                    </a:prstGeom>
                  </pic:spPr>
                </pic:pic>
              </a:graphicData>
            </a:graphic>
          </wp:inline>
        </w:drawing>
      </w:r>
    </w:p>
    <w:sectPr>
      <w:pgSz w:w="16838" w:h="11906" w:orient="landscape"/>
      <w:pgMar w:top="1531" w:right="1474" w:bottom="1417" w:left="1587" w:header="283" w:footer="283"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0E2F9">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D66C0">
    <w:pPr>
      <w:pStyle w:val="3"/>
      <w:framePr w:wrap="around" w:vAnchor="text" w:hAnchor="margin" w:xAlign="outside" w:y="1"/>
      <w:rPr>
        <w:rStyle w:val="8"/>
      </w:rPr>
    </w:pPr>
    <w:r>
      <w:fldChar w:fldCharType="begin"/>
    </w:r>
    <w:r>
      <w:rPr>
        <w:rStyle w:val="8"/>
      </w:rPr>
      <w:instrText xml:space="preserve">PAGE  </w:instrText>
    </w:r>
    <w:r>
      <w:fldChar w:fldCharType="separate"/>
    </w:r>
    <w:r>
      <w:rPr>
        <w:rStyle w:val="8"/>
      </w:rPr>
      <w:t>- 8 -</w:t>
    </w:r>
    <w:r>
      <w:fldChar w:fldCharType="end"/>
    </w:r>
  </w:p>
  <w:p w14:paraId="3A4F8D21">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10CD1">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2ZjFhOTg2MjZlNzA1MTI5MDliMWQ2NDVhMzFkN2IifQ=="/>
  </w:docVars>
  <w:rsids>
    <w:rsidRoot w:val="005307C3"/>
    <w:rsid w:val="000E241F"/>
    <w:rsid w:val="00110F27"/>
    <w:rsid w:val="001A17CF"/>
    <w:rsid w:val="001E5DBA"/>
    <w:rsid w:val="001F349B"/>
    <w:rsid w:val="00240F20"/>
    <w:rsid w:val="00313681"/>
    <w:rsid w:val="00331A90"/>
    <w:rsid w:val="003F4FCD"/>
    <w:rsid w:val="004315BF"/>
    <w:rsid w:val="00455976"/>
    <w:rsid w:val="005307C3"/>
    <w:rsid w:val="00571C7A"/>
    <w:rsid w:val="005E772A"/>
    <w:rsid w:val="00627B72"/>
    <w:rsid w:val="00682C2C"/>
    <w:rsid w:val="007D4A69"/>
    <w:rsid w:val="007D4F5E"/>
    <w:rsid w:val="00840B55"/>
    <w:rsid w:val="008478C3"/>
    <w:rsid w:val="008D42F7"/>
    <w:rsid w:val="00960D3A"/>
    <w:rsid w:val="00A874A9"/>
    <w:rsid w:val="00AD5423"/>
    <w:rsid w:val="00B94DDB"/>
    <w:rsid w:val="00BD51AF"/>
    <w:rsid w:val="00C74CE4"/>
    <w:rsid w:val="00CA3C6A"/>
    <w:rsid w:val="00EC687E"/>
    <w:rsid w:val="00EF3C51"/>
    <w:rsid w:val="00F1235E"/>
    <w:rsid w:val="00F150C2"/>
    <w:rsid w:val="00F45F8D"/>
    <w:rsid w:val="026E0943"/>
    <w:rsid w:val="05D067CD"/>
    <w:rsid w:val="05F9364A"/>
    <w:rsid w:val="07A003FB"/>
    <w:rsid w:val="092D4FAF"/>
    <w:rsid w:val="0B226559"/>
    <w:rsid w:val="0E2518EC"/>
    <w:rsid w:val="109A4AF6"/>
    <w:rsid w:val="10E377FB"/>
    <w:rsid w:val="11827DC7"/>
    <w:rsid w:val="127C38FD"/>
    <w:rsid w:val="13E93EE3"/>
    <w:rsid w:val="15F91C6F"/>
    <w:rsid w:val="18E52152"/>
    <w:rsid w:val="1944730B"/>
    <w:rsid w:val="1A2B6B55"/>
    <w:rsid w:val="1B14512E"/>
    <w:rsid w:val="1DCE6251"/>
    <w:rsid w:val="20614D91"/>
    <w:rsid w:val="21131514"/>
    <w:rsid w:val="22851A6B"/>
    <w:rsid w:val="239A4411"/>
    <w:rsid w:val="24786DC1"/>
    <w:rsid w:val="25054CDC"/>
    <w:rsid w:val="2647408B"/>
    <w:rsid w:val="26D64624"/>
    <w:rsid w:val="27D67551"/>
    <w:rsid w:val="28741A85"/>
    <w:rsid w:val="2F3F2669"/>
    <w:rsid w:val="30CD0261"/>
    <w:rsid w:val="341E65AA"/>
    <w:rsid w:val="358A0DDC"/>
    <w:rsid w:val="35E5373A"/>
    <w:rsid w:val="38313D5A"/>
    <w:rsid w:val="399A3584"/>
    <w:rsid w:val="39C53656"/>
    <w:rsid w:val="39D12C27"/>
    <w:rsid w:val="3B142CB9"/>
    <w:rsid w:val="3D281A9A"/>
    <w:rsid w:val="3E0C1546"/>
    <w:rsid w:val="3F981365"/>
    <w:rsid w:val="404C19F6"/>
    <w:rsid w:val="42434556"/>
    <w:rsid w:val="445937A6"/>
    <w:rsid w:val="450366D2"/>
    <w:rsid w:val="46B25DFD"/>
    <w:rsid w:val="47596A1D"/>
    <w:rsid w:val="49183C3C"/>
    <w:rsid w:val="4D2733DC"/>
    <w:rsid w:val="4DF307D4"/>
    <w:rsid w:val="4EDF1A21"/>
    <w:rsid w:val="4EFA0F67"/>
    <w:rsid w:val="4FEB0F2B"/>
    <w:rsid w:val="517A04D0"/>
    <w:rsid w:val="53BD040C"/>
    <w:rsid w:val="540631E6"/>
    <w:rsid w:val="54934EFA"/>
    <w:rsid w:val="55993F5B"/>
    <w:rsid w:val="559B03FF"/>
    <w:rsid w:val="55B8457E"/>
    <w:rsid w:val="560D6A48"/>
    <w:rsid w:val="57F015BA"/>
    <w:rsid w:val="5B692C6C"/>
    <w:rsid w:val="5B6C79E5"/>
    <w:rsid w:val="5C316A71"/>
    <w:rsid w:val="5C850938"/>
    <w:rsid w:val="609A1232"/>
    <w:rsid w:val="63EE7082"/>
    <w:rsid w:val="64101FDA"/>
    <w:rsid w:val="685407DA"/>
    <w:rsid w:val="689B4F6A"/>
    <w:rsid w:val="69321DB2"/>
    <w:rsid w:val="6E273665"/>
    <w:rsid w:val="6E3D2C54"/>
    <w:rsid w:val="6FD746AC"/>
    <w:rsid w:val="6FDE3FE1"/>
    <w:rsid w:val="704E1380"/>
    <w:rsid w:val="70B432D8"/>
    <w:rsid w:val="719F2EB0"/>
    <w:rsid w:val="71B047FB"/>
    <w:rsid w:val="72007D93"/>
    <w:rsid w:val="75504886"/>
    <w:rsid w:val="763EBE3A"/>
    <w:rsid w:val="771B34D5"/>
    <w:rsid w:val="78EB0640"/>
    <w:rsid w:val="79937342"/>
    <w:rsid w:val="7A8402D6"/>
    <w:rsid w:val="7A8C5071"/>
    <w:rsid w:val="7BEE50DA"/>
    <w:rsid w:val="7C256E3D"/>
    <w:rsid w:val="7E347740"/>
    <w:rsid w:val="7FB46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styleId="8">
    <w:name w:val="page number"/>
    <w:basedOn w:val="7"/>
    <w:qFormat/>
    <w:uiPriority w:val="0"/>
  </w:style>
  <w:style w:type="character" w:customStyle="1" w:styleId="9">
    <w:name w:val="页脚 Char"/>
    <w:basedOn w:val="7"/>
    <w:link w:val="3"/>
    <w:qFormat/>
    <w:uiPriority w:val="99"/>
    <w:rPr>
      <w:rFonts w:ascii="Times New Roman" w:hAnsi="Times New Roman" w:eastAsia="宋体" w:cs="Times New Roman"/>
      <w:sz w:val="18"/>
      <w:szCs w:val="18"/>
    </w:rPr>
  </w:style>
  <w:style w:type="paragraph" w:customStyle="1" w:styleId="10">
    <w:name w:val="Char1"/>
    <w:basedOn w:val="1"/>
    <w:qFormat/>
    <w:uiPriority w:val="0"/>
    <w:pPr>
      <w:widowControl/>
      <w:spacing w:after="160" w:line="240" w:lineRule="exact"/>
      <w:jc w:val="left"/>
    </w:pPr>
    <w:rPr>
      <w:szCs w:val="24"/>
    </w:rPr>
  </w:style>
  <w:style w:type="character" w:customStyle="1" w:styleId="11">
    <w:name w:val="页眉 Char"/>
    <w:basedOn w:val="7"/>
    <w:link w:val="4"/>
    <w:qFormat/>
    <w:uiPriority w:val="99"/>
    <w:rPr>
      <w:rFonts w:ascii="Times New Roman" w:hAnsi="Times New Roman" w:eastAsia="宋体" w:cs="Times New Roman"/>
      <w:sz w:val="18"/>
      <w:szCs w:val="18"/>
    </w:rPr>
  </w:style>
  <w:style w:type="paragraph" w:customStyle="1" w:styleId="12">
    <w:name w:val="cjk"/>
    <w:basedOn w:val="1"/>
    <w:qFormat/>
    <w:uiPriority w:val="0"/>
    <w:pPr>
      <w:widowControl/>
      <w:spacing w:before="100" w:beforeAutospacing="1" w:after="100" w:afterAutospacing="1"/>
      <w:jc w:val="left"/>
    </w:pPr>
    <w:rPr>
      <w:rFonts w:ascii="宋体" w:hAnsi="宋体" w:cs="宋体"/>
      <w:kern w:val="0"/>
      <w:sz w:val="24"/>
    </w:rPr>
  </w:style>
  <w:style w:type="character" w:customStyle="1" w:styleId="13">
    <w:name w:val="批注框文本 Char"/>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1074</Words>
  <Characters>1235</Characters>
  <Lines>7</Lines>
  <Paragraphs>1</Paragraphs>
  <TotalTime>21</TotalTime>
  <ScaleCrop>false</ScaleCrop>
  <LinksUpToDate>false</LinksUpToDate>
  <CharactersWithSpaces>1238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2023-03-07T08:23:00Z</dcterms:created>
  <dc:creator>li dj</dc:creator>
  <cp:lastModifiedBy>张欣怡</cp:lastModifiedBy>
  <cp:lastPrinted>2025-10-15T06:48:00Z</cp:lastPrinted>
  <dcterms:modified xsi:type="dcterms:W3CDTF">2025-11-17T06:30:32Z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88606EBD107545FAAA1C2CF8789CBF60_13</vt:lpwstr>
  </property>
  <property fmtid="{D5CDD505-2E9C-101B-9397-08002B2CF9AE}" pid="4" name="KSOTemplateDocerSaveRecord">
    <vt:lpwstr>eyJoZGlkIjoiYjE3ZGIyMzFlM2ZkZWMzNzdlNjM5ZjIyM2E3YTI4ZTIiLCJ1c2VySWQiOiIyMzMzOTcxNzMifQ==</vt:lpwstr>
  </property>
</Properties>
</file>