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contextualSpacing/>
        <w:jc w:val="center"/>
        <w:rPr>
          <w:rFonts w:hint="eastAsia" w:ascii="方正小标宋简体" w:hAnsi="华文中宋" w:eastAsia="方正小标宋简体" w:cs="Times New Roman"/>
          <w:color w:val="000000"/>
          <w:sz w:val="44"/>
          <w:szCs w:val="44"/>
        </w:rPr>
      </w:pPr>
      <w:r>
        <w:rPr>
          <w:rFonts w:hint="eastAsia" w:ascii="方正小标宋简体" w:hAnsi="华文中宋" w:eastAsia="方正小标宋简体" w:cs="Times New Roman"/>
          <w:color w:val="000000"/>
          <w:sz w:val="44"/>
          <w:szCs w:val="44"/>
        </w:rPr>
        <w:t>第十四届全国大学生电子商务“创新、创意及创业”挑战赛报名通知</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全国大学生电子商务“创新、创意及创业”挑战赛（以下简称三创赛）是从2009年开始，根据教育部、财政部（教高函〔2010〕13号）文件精神创办。三创赛是《2023全国普通高校大学生竞赛分析报告》84项赛事中第12位赛事，在2023年全国高校大学生学科竞赛排行榜“创新创业类”赛事中排名第三。大赛对开展创新教育和实践教学改革、加强产学研之间联系发挥了积极作用，得到社会广泛认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从第十二届大赛创新性拓展出了三创赛的实战赛：如跨境电商实战赛，开始了三创赛分为常规赛和实战赛两类赛事，既相互关联又差异化发展的新里程。届时，在前十三届的基础上，第十四届三创赛将延续常规赛和实战赛两类赛事进行。其中，常规赛包含《全国大学生电子商务“创新、创意及创业”挑战赛指南》中主题；实战赛包含：跨境电商实战赛、乡村振兴实战赛、产学用（BUC）实战赛、商务大数据分析实战赛、直播电商实战赛共五类。其中，商务大数据分析实战赛、直播电商实战赛为新增的两类实战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主办单位：全国电子商务产教融合创新联盟、西安交通大学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执行单位：第十四届全国大学生电子商务“创新、创意及创业”挑战赛竞赛组织委员会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校赛主办单位：招就处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校赛承办单位：信息传媒艺术学院</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现将我校三创赛有关事项通知如下：</w:t>
      </w:r>
    </w:p>
    <w:p>
      <w:pPr>
        <w:pStyle w:val="7"/>
        <w:numPr>
          <w:ilvl w:val="0"/>
          <w:numId w:val="1"/>
        </w:numPr>
        <w:spacing w:line="560" w:lineRule="exact"/>
        <w:ind w:left="0" w:leftChars="0" w:firstLine="420" w:firstLineChars="0"/>
        <w:jc w:val="center"/>
        <w:rPr>
          <w:rFonts w:hint="eastAsia" w:hAnsi="Times New Roman"/>
          <w:sz w:val="32"/>
          <w:szCs w:val="32"/>
        </w:rPr>
      </w:pPr>
      <w:r>
        <w:rPr>
          <w:rFonts w:hint="eastAsia" w:hAnsi="Times New Roman"/>
          <w:sz w:val="32"/>
          <w:szCs w:val="32"/>
        </w:rPr>
        <w:t>比赛时间安排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32" w:firstLineChars="200"/>
        <w:jc w:val="both"/>
        <w:textAlignment w:val="auto"/>
        <w:rPr>
          <w:rFonts w:ascii="Arial" w:hAnsi="Arial" w:eastAsia="Arial" w:cs="Arial"/>
          <w:i w:val="0"/>
          <w:iCs w:val="0"/>
          <w:caps w:val="0"/>
          <w:color w:val="000000"/>
          <w:spacing w:val="8"/>
          <w:sz w:val="25"/>
          <w:szCs w:val="25"/>
        </w:rPr>
      </w:pPr>
    </w:p>
    <w:p>
      <w:pPr>
        <w:spacing w:line="560" w:lineRule="exact"/>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rPr>
        <w:t>1.参赛队报名时间：</w:t>
      </w:r>
      <w:r>
        <w:rPr>
          <w:rFonts w:hint="eastAsia" w:ascii="仿宋_GB2312" w:hAnsi="Times New Roman" w:eastAsia="仿宋_GB2312" w:cs="Times New Roman"/>
          <w:sz w:val="32"/>
          <w:szCs w:val="32"/>
          <w:lang w:val="en-US" w:eastAsia="zh-CN"/>
        </w:rPr>
        <w:t>即日起</w:t>
      </w:r>
      <w:r>
        <w:rPr>
          <w:rFonts w:hint="eastAsia" w:ascii="仿宋_GB2312" w:hAnsi="Times New Roman" w:eastAsia="仿宋_GB2312" w:cs="Times New Roman"/>
          <w:sz w:val="32"/>
          <w:szCs w:val="32"/>
        </w:rPr>
        <w:t>-2023年12月31日；</w:t>
      </w:r>
    </w:p>
    <w:p>
      <w:pPr>
        <w:spacing w:line="560" w:lineRule="exact"/>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rPr>
        <w:t>2.校赛举办时间：2024年3月1日-2024年3月31日；</w:t>
      </w:r>
    </w:p>
    <w:p>
      <w:pPr>
        <w:spacing w:line="560" w:lineRule="exact"/>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rPr>
        <w:t>3.颁发校赛证书时间：2024年4月5日-2024年5月5日；</w:t>
      </w:r>
    </w:p>
    <w:p>
      <w:pPr>
        <w:spacing w:line="560" w:lineRule="exact"/>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rPr>
        <w:t>4.省级赛举办时间：2024年4月1日-2024年6月30日；</w:t>
      </w:r>
    </w:p>
    <w:p>
      <w:pPr>
        <w:spacing w:line="560" w:lineRule="exact"/>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rPr>
        <w:t>5.全国总决赛时间：2024年7月15日-2024年8月5日。</w:t>
      </w:r>
    </w:p>
    <w:p>
      <w:pPr>
        <w:pStyle w:val="7"/>
        <w:numPr>
          <w:ilvl w:val="0"/>
          <w:numId w:val="1"/>
        </w:numPr>
        <w:spacing w:line="560" w:lineRule="exact"/>
        <w:ind w:left="0" w:leftChars="0" w:firstLine="420" w:firstLineChars="0"/>
        <w:jc w:val="center"/>
        <w:rPr>
          <w:rFonts w:hint="eastAsia" w:hAnsi="Times New Roman"/>
          <w:sz w:val="32"/>
          <w:szCs w:val="32"/>
        </w:rPr>
      </w:pPr>
      <w:r>
        <w:rPr>
          <w:rFonts w:hint="eastAsia" w:hAnsi="Times New Roman"/>
          <w:sz w:val="32"/>
          <w:szCs w:val="32"/>
        </w:rPr>
        <w:t>赛事分类</w:t>
      </w:r>
    </w:p>
    <w:p>
      <w:pPr>
        <w:spacing w:line="560" w:lineRule="exact"/>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（一）常规赛</w:t>
      </w:r>
    </w:p>
    <w:p>
      <w:pPr>
        <w:spacing w:line="560" w:lineRule="exact"/>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本届大赛常规赛主题如下：</w:t>
      </w:r>
    </w:p>
    <w:p>
      <w:pPr>
        <w:spacing w:line="560" w:lineRule="exact"/>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1.三农电子商务2.工业电子商务3.跨境电子商务</w:t>
      </w:r>
    </w:p>
    <w:p>
      <w:pPr>
        <w:spacing w:line="560" w:lineRule="exact"/>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4.电子商务物流5.互联网金融</w:t>
      </w:r>
    </w:p>
    <w:p>
      <w:pPr>
        <w:spacing w:line="560" w:lineRule="exact"/>
        <w:ind w:firstLine="640" w:firstLineChars="200"/>
        <w:rPr>
          <w:rFonts w:hint="eastAsia" w:ascii="仿宋_GB2312" w:hAnsi="Times New Roman" w:eastAsia="仿宋_GB2312" w:cs="Times New Roman"/>
          <w:sz w:val="32"/>
          <w:szCs w:val="32"/>
          <w:lang w:eastAsia="zh-CN"/>
        </w:rPr>
      </w:pPr>
      <w:r>
        <w:rPr>
          <w:rFonts w:hint="default" w:ascii="仿宋_GB2312" w:hAnsi="Times New Roman" w:eastAsia="仿宋_GB2312" w:cs="Times New Roman"/>
          <w:sz w:val="32"/>
          <w:szCs w:val="32"/>
        </w:rPr>
        <w:t>6.移动电子商务7.旅游电子商务</w:t>
      </w:r>
    </w:p>
    <w:p>
      <w:pPr>
        <w:spacing w:line="560" w:lineRule="exact"/>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8.校园电子商务9.其他类电子商务。</w:t>
      </w:r>
    </w:p>
    <w:p>
      <w:pPr>
        <w:spacing w:line="560" w:lineRule="exact"/>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（二）实战赛</w:t>
      </w:r>
    </w:p>
    <w:p>
      <w:pPr>
        <w:spacing w:line="560" w:lineRule="exact"/>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1.跨境电商实战赛</w:t>
      </w:r>
    </w:p>
    <w:p>
      <w:pPr>
        <w:spacing w:line="560" w:lineRule="exact"/>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2.乡村振兴实战赛</w:t>
      </w:r>
    </w:p>
    <w:p>
      <w:pPr>
        <w:spacing w:line="560" w:lineRule="exact"/>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3.产学用（BUC）实战赛</w:t>
      </w:r>
    </w:p>
    <w:p>
      <w:pPr>
        <w:spacing w:line="560" w:lineRule="exact"/>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4.商务大数据分析实战赛</w:t>
      </w:r>
    </w:p>
    <w:p>
      <w:pPr>
        <w:spacing w:line="560" w:lineRule="exact"/>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5.直播电商实战赛</w:t>
      </w:r>
    </w:p>
    <w:p>
      <w:pPr>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三</w:t>
      </w:r>
      <w:r>
        <w:rPr>
          <w:rFonts w:hint="eastAsia" w:ascii="仿宋_GB2312" w:hAnsi="Times New Roman" w:eastAsia="仿宋_GB2312" w:cs="Times New Roman"/>
          <w:sz w:val="32"/>
          <w:szCs w:val="32"/>
        </w:rPr>
        <w:t>）参赛队伍应该围绕大赛主题给出具体作品名称，参赛作品名称（不超出30个字符）及内容应当充满正能量、符合主旋律，不能含有色情、暴力和低俗等内容，更不能与中华人民共和国法律相抵触。团队名不能超过16个字符。</w:t>
      </w:r>
    </w:p>
    <w:p>
      <w:pPr>
        <w:pStyle w:val="7"/>
        <w:numPr>
          <w:ilvl w:val="0"/>
          <w:numId w:val="1"/>
        </w:numPr>
        <w:spacing w:line="560" w:lineRule="exact"/>
        <w:ind w:left="0" w:leftChars="0" w:firstLine="420" w:firstLineChars="0"/>
        <w:jc w:val="center"/>
        <w:rPr>
          <w:rFonts w:hint="eastAsia" w:hAnsi="Times New Roman"/>
          <w:sz w:val="32"/>
          <w:szCs w:val="32"/>
        </w:rPr>
      </w:pPr>
      <w:r>
        <w:rPr>
          <w:rFonts w:hint="eastAsia" w:hAnsi="Times New Roman"/>
          <w:sz w:val="32"/>
          <w:szCs w:val="32"/>
        </w:rPr>
        <w:t>大赛参赛资格和指导原则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color w:val="000000"/>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1.参赛队伍应该围绕大赛主题给出具体作品名称，参赛作品名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称（不超出30个字符）及内容应当充满正能量、符合主旋律，不能含有色情、暴力和低俗等内容，更不能与中华人民共和国法律相抵触。团队名不能超过16个字符。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2.参赛选手有两种组队方式：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（1）学生队：学生作为队长，队长和队员须全部为全日制在校学生；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（2）混合队：高校教师作为队长，队员中学生数量必须多于教师。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3.参赛选手每人可以同期参加一个常规赛和一个实战赛（同一团队如果参加两个比赛也必须注册两个团队ID号，即需要使用两个不同的邮箱注册两个账号）。一个团队成员3-5名，其中一名为队长。可以跨校组队，以队长所在学校为该队报名学校。队员的身份信息的真实性由队长负责。提倡合理分工，学科交叉，优势结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4.一个团队可以有0-2名高校指导老师，0-2名企业指导老师参加。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textAlignment w:val="auto"/>
        <w:rPr>
          <w:color w:val="auto"/>
        </w:rPr>
      </w:pPr>
      <w:r>
        <w:rPr>
          <w:rFonts w:hint="eastAsia" w:ascii="仿宋_GB2312" w:hAnsi="Times New Roman" w:eastAsia="仿宋_GB2312" w:cs="Times New Roman"/>
          <w:kern w:val="2"/>
          <w:sz w:val="32"/>
          <w:szCs w:val="32"/>
          <w:lang w:val="en-US" w:eastAsia="zh-CN" w:bidi="ar-SA"/>
        </w:rPr>
        <w:t>5.参赛团队的成员信息、参赛作品名及作品摘要必须在报名之后上传到官网，在3月1日校赛管理员审核截止前可以修改，3月1日（大赛规定的校赛开始时间）后不得更改。3月1日（官网公布）校赛开始之日后只有一种情况可以修改，即：团队成员减员。</w:t>
      </w:r>
    </w:p>
    <w:p>
      <w:pPr>
        <w:pStyle w:val="7"/>
        <w:numPr>
          <w:ilvl w:val="0"/>
          <w:numId w:val="1"/>
        </w:numPr>
        <w:spacing w:line="560" w:lineRule="exact"/>
        <w:ind w:left="0" w:leftChars="0" w:firstLine="420" w:firstLineChars="0"/>
        <w:jc w:val="center"/>
        <w:rPr>
          <w:rFonts w:hint="eastAsia" w:hAnsi="Times New Roman"/>
          <w:sz w:val="32"/>
          <w:szCs w:val="32"/>
        </w:rPr>
      </w:pPr>
      <w:r>
        <w:rPr>
          <w:rFonts w:hint="eastAsia" w:hAnsi="Times New Roman"/>
          <w:sz w:val="32"/>
          <w:szCs w:val="32"/>
        </w:rPr>
        <w:t>大赛报名方式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参赛队伍需在2023年12月31日前在官方网站（www.3chuang.net）上统一注册（由队长注册），以便规范管理和提供必要的服务。报名时选择北京青年政治学院赛区并填写参赛队员信息、高校指导老师信息、企业指导老师信息，参赛作品名、作品摘要等信息（具体报名信息在2024年3月1日校赛管理员审核截止前可以修改）。请参赛团队的队长认真填写准确的（高校指导老师、企业指导老师）姓名和数量，若填写内容有误，则后果团队自负。所有参赛队伍必须由本校三创赛承办负责人在官网上对参赛队伍进行审核通过后才视为报名成功的团队。</w:t>
      </w:r>
    </w:p>
    <w:p>
      <w:pPr>
        <w:pStyle w:val="7"/>
        <w:numPr>
          <w:ilvl w:val="0"/>
          <w:numId w:val="1"/>
        </w:numPr>
        <w:spacing w:line="560" w:lineRule="exact"/>
        <w:ind w:left="0" w:leftChars="0" w:firstLine="420" w:firstLineChars="0"/>
        <w:jc w:val="center"/>
        <w:rPr>
          <w:rFonts w:hint="default" w:hAnsi="Times New Roman"/>
          <w:sz w:val="32"/>
          <w:szCs w:val="32"/>
        </w:rPr>
      </w:pPr>
      <w:r>
        <w:rPr>
          <w:rFonts w:hint="default" w:hAnsi="Times New Roman"/>
          <w:sz w:val="32"/>
          <w:szCs w:val="32"/>
        </w:rPr>
        <w:t>注意事项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三创赛所有文档均放在三创赛官方网站（www.3chuang.net）“资料下载”栏，所有赛事通知、公告均通过官方网站、微信公众号（名称：电子商务三创赛）发布。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72" w:firstLineChars="200"/>
        <w:jc w:val="both"/>
        <w:textAlignment w:val="auto"/>
        <w:rPr>
          <w:rFonts w:hint="default" w:ascii="微软雅黑" w:hAnsi="微软雅黑" w:eastAsia="微软雅黑" w:cs="微软雅黑"/>
          <w:i w:val="0"/>
          <w:iCs w:val="0"/>
          <w:caps w:val="0"/>
          <w:color w:val="000000"/>
          <w:spacing w:val="23"/>
          <w:sz w:val="24"/>
          <w:szCs w:val="24"/>
          <w:shd w:val="clear" w:fill="FFFFFF"/>
        </w:rPr>
      </w:pP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240" w:lineRule="auto"/>
        <w:ind w:left="0" w:right="0" w:firstLine="512" w:firstLineChars="200"/>
        <w:jc w:val="left"/>
        <w:textAlignment w:val="auto"/>
        <w:rPr>
          <w:color w:val="333333"/>
          <w:spacing w:val="23"/>
          <w:sz w:val="21"/>
          <w:szCs w:val="21"/>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微软雅黑" w:hAnsi="微软雅黑" w:eastAsia="微软雅黑" w:cs="微软雅黑"/>
          <w:i w:val="0"/>
          <w:iCs w:val="0"/>
          <w:caps w:val="0"/>
          <w:color w:val="000000"/>
          <w:spacing w:val="23"/>
          <w:sz w:val="24"/>
          <w:szCs w:val="24"/>
          <w:shd w:val="clear" w:fill="FFFFFF"/>
        </w:rPr>
      </w:pPr>
    </w:p>
    <w:p>
      <w:pPr>
        <w:keepNext w:val="0"/>
        <w:keepLines w:val="0"/>
        <w:pageBreakBefore w:val="0"/>
        <w:kinsoku/>
        <w:wordWrap/>
        <w:overflowPunct/>
        <w:topLinePunct w:val="0"/>
        <w:autoSpaceDE/>
        <w:autoSpaceDN/>
        <w:bidi w:val="0"/>
        <w:adjustRightInd/>
        <w:snapToGrid/>
        <w:spacing w:line="240" w:lineRule="auto"/>
        <w:ind w:firstLine="592" w:firstLineChars="200"/>
        <w:textAlignment w:val="auto"/>
        <w:rPr>
          <w:rFonts w:ascii="微软雅黑" w:hAnsi="微软雅黑" w:eastAsia="微软雅黑" w:cs="微软雅黑"/>
          <w:i w:val="0"/>
          <w:iCs w:val="0"/>
          <w:caps w:val="0"/>
          <w:color w:val="000000"/>
          <w:spacing w:val="23"/>
          <w:sz w:val="25"/>
          <w:szCs w:val="25"/>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7421FB4-6257-43BC-824C-B98D643F466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embedRegular r:id="rId2" w:fontKey="{1982C9F8-9CFF-42C3-B0FF-7951195BC4BD}"/>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3" w:fontKey="{CB09D98C-85D4-4339-AB59-B1BBD4D9C2D1}"/>
  </w:font>
  <w:font w:name="华文中宋">
    <w:panose1 w:val="02010600040101010101"/>
    <w:charset w:val="86"/>
    <w:family w:val="auto"/>
    <w:pitch w:val="default"/>
    <w:sig w:usb0="00000287" w:usb1="080F0000" w:usb2="00000000" w:usb3="00000000" w:csb0="0004009F" w:csb1="DFD70000"/>
    <w:embedRegular r:id="rId4" w:fontKey="{917DDFE9-CCF8-41EA-929E-72BB96C2EB77}"/>
  </w:font>
  <w:font w:name="仿宋_GB2312">
    <w:panose1 w:val="02010609030101010101"/>
    <w:charset w:val="86"/>
    <w:family w:val="modern"/>
    <w:pitch w:val="default"/>
    <w:sig w:usb0="00000001" w:usb1="080E0000" w:usb2="00000000" w:usb3="00000000" w:csb0="00040000" w:csb1="00000000"/>
    <w:embedRegular r:id="rId5" w:fontKey="{0C90E576-94EC-42EC-BCD2-B4E91638B16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7B055D"/>
    <w:multiLevelType w:val="singleLevel"/>
    <w:tmpl w:val="D87B055D"/>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iNzc4ZDM2MTNiZWZlYWI5NGNmNDExNjRiYjg2ZDIifQ=="/>
  </w:docVars>
  <w:rsids>
    <w:rsidRoot w:val="12DA26E1"/>
    <w:rsid w:val="11810998"/>
    <w:rsid w:val="12DA26E1"/>
    <w:rsid w:val="1A562397"/>
    <w:rsid w:val="218E5BFE"/>
    <w:rsid w:val="24286B52"/>
    <w:rsid w:val="280E42B1"/>
    <w:rsid w:val="30314FE0"/>
    <w:rsid w:val="3E8409D1"/>
    <w:rsid w:val="5F993E84"/>
    <w:rsid w:val="62D37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customStyle="1" w:styleId="7">
    <w:name w:val="Defaul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2023-11-02T02:46:00Z</dcterms:created>
  <dc:creator>EGG</dc:creator>
  <cp:lastModifiedBy>晨儿宝</cp:lastModifiedBy>
  <dcterms:modified xsi:type="dcterms:W3CDTF">2023-11-24T01:15:07Z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7C3E953EA4664387BE6E171845318968_11</vt:lpwstr>
  </property>
</Properties>
</file>