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F95A7" w14:textId="77777777" w:rsidR="00A11970" w:rsidRDefault="00A11970">
      <w:pPr>
        <w:jc w:val="distribute"/>
        <w:rPr>
          <w:rFonts w:ascii="方正小标宋简体" w:eastAsia="方正小标宋简体" w:hAnsi="宋体"/>
          <w:color w:val="FF0000"/>
          <w:sz w:val="64"/>
          <w:szCs w:val="64"/>
        </w:rPr>
      </w:pPr>
    </w:p>
    <w:p w14:paraId="62DCF1C5" w14:textId="77777777" w:rsidR="00A11970" w:rsidRDefault="00EF0C91">
      <w:pPr>
        <w:jc w:val="center"/>
        <w:rPr>
          <w:rFonts w:ascii="方正小标宋简体" w:eastAsia="方正小标宋简体"/>
          <w:sz w:val="64"/>
          <w:szCs w:val="64"/>
        </w:rPr>
      </w:pPr>
      <w:r>
        <w:rPr>
          <w:rFonts w:ascii="方正小标宋简体" w:eastAsia="方正小标宋简体" w:hAnsi="宋体" w:hint="eastAsia"/>
          <w:color w:val="FF0000"/>
          <w:spacing w:val="60"/>
          <w:kern w:val="0"/>
          <w:sz w:val="64"/>
          <w:szCs w:val="64"/>
        </w:rPr>
        <w:t>北京青年政治学院文</w:t>
      </w:r>
      <w:r>
        <w:rPr>
          <w:rFonts w:ascii="方正小标宋简体" w:eastAsia="方正小标宋简体" w:hAnsi="宋体" w:hint="eastAsia"/>
          <w:color w:val="FF0000"/>
          <w:kern w:val="0"/>
          <w:sz w:val="64"/>
          <w:szCs w:val="64"/>
        </w:rPr>
        <w:t>件</w:t>
      </w:r>
    </w:p>
    <w:p w14:paraId="5134050E" w14:textId="77777777" w:rsidR="00A11970" w:rsidRDefault="00A11970">
      <w:pPr>
        <w:rPr>
          <w:rFonts w:ascii="仿宋_GB2312" w:eastAsia="仿宋_GB2312"/>
          <w:sz w:val="32"/>
          <w:szCs w:val="32"/>
        </w:rPr>
      </w:pPr>
    </w:p>
    <w:p w14:paraId="53B2D8E7" w14:textId="77777777" w:rsidR="00A11970" w:rsidRDefault="00EF0C91">
      <w:pPr>
        <w:jc w:val="center"/>
        <w:rPr>
          <w:rFonts w:ascii="楷体_GB2312" w:eastAsia="楷体_GB2312"/>
          <w:sz w:val="32"/>
          <w:szCs w:val="32"/>
        </w:rPr>
      </w:pPr>
      <w:r>
        <w:rPr>
          <w:rFonts w:ascii="仿宋_GB2312" w:eastAsia="仿宋_GB2312" w:hint="eastAsia"/>
          <w:sz w:val="32"/>
          <w:szCs w:val="32"/>
        </w:rPr>
        <w:t>院发〔</w:t>
      </w:r>
      <w:r>
        <w:rPr>
          <w:rFonts w:ascii="仿宋_GB2312" w:eastAsia="仿宋_GB2312" w:hint="eastAsia"/>
          <w:sz w:val="32"/>
          <w:szCs w:val="32"/>
        </w:rPr>
        <w:t>2023</w:t>
      </w:r>
      <w:r>
        <w:rPr>
          <w:rFonts w:ascii="仿宋_GB2312" w:eastAsia="仿宋_GB2312" w:hint="eastAsia"/>
          <w:sz w:val="32"/>
          <w:szCs w:val="32"/>
        </w:rPr>
        <w:t>〕</w:t>
      </w:r>
      <w:r>
        <w:rPr>
          <w:rFonts w:ascii="仿宋_GB2312" w:eastAsia="仿宋_GB2312"/>
          <w:sz w:val="32"/>
          <w:szCs w:val="32"/>
        </w:rPr>
        <w:t>33</w:t>
      </w:r>
      <w:r>
        <w:rPr>
          <w:rFonts w:ascii="仿宋_GB2312" w:eastAsia="仿宋_GB2312" w:hint="eastAsia"/>
          <w:sz w:val="32"/>
          <w:szCs w:val="32"/>
        </w:rPr>
        <w:t>号</w:t>
      </w:r>
    </w:p>
    <w:p w14:paraId="0F380890" w14:textId="77777777" w:rsidR="00A11970" w:rsidRDefault="00EF0C91">
      <w:pPr>
        <w:spacing w:line="520" w:lineRule="exact"/>
        <w:jc w:val="center"/>
        <w:rPr>
          <w:rFonts w:ascii="方正小标宋简体" w:eastAsia="方正小标宋简体" w:hAnsi="宋体" w:cs="宋体"/>
          <w:bCs/>
          <w:kern w:val="0"/>
          <w:sz w:val="44"/>
          <w:szCs w:val="44"/>
        </w:rPr>
      </w:pPr>
      <w:r>
        <w:rPr>
          <w:noProof/>
        </w:rPr>
        <mc:AlternateContent>
          <mc:Choice Requires="wps">
            <w:drawing>
              <wp:anchor distT="0" distB="0" distL="114300" distR="114300" simplePos="0" relativeHeight="251659264" behindDoc="0" locked="0" layoutInCell="1" allowOverlap="1" wp14:anchorId="431A7B47" wp14:editId="69F82776">
                <wp:simplePos x="0" y="0"/>
                <wp:positionH relativeFrom="column">
                  <wp:posOffset>-114300</wp:posOffset>
                </wp:positionH>
                <wp:positionV relativeFrom="paragraph">
                  <wp:posOffset>98425</wp:posOffset>
                </wp:positionV>
                <wp:extent cx="582930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wps:spPr>
                      <wps:bodyPr/>
                    </wps:wsp>
                  </a:graphicData>
                </a:graphic>
              </wp:anchor>
            </w:drawing>
          </mc:Choice>
          <mc:Fallback xmlns:wpsCustomData="http://www.wps.cn/officeDocument/2013/wpsCustomData">
            <w:pict>
              <v:line id="_x0000_s1026" o:spid="_x0000_s1026" o:spt="20" style="position:absolute;left:0pt;margin-left:-9pt;margin-top:7.75pt;height:0pt;width:459pt;z-index:251659264;mso-width-relative:page;mso-height-relative:page;" filled="f" stroked="t" coordsize="21600,21600" o:gfxdata="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UX2bHXAAAA&#10;CQEAAA8AAAAAAAAAAQAgAAAAIgAAAGRycy9kb3ducmV2LnhtbFBLAQIUABQAAAAIAIdO4kBD5aBK&#10;5QEAAKsDAAAOAAAAAAAAAAEAIAAAACYBAABkcnMvZTJvRG9jLnhtbFBLBQYAAAAABgAGAFkBAAB9&#10;BQAAAAA=&#10;">
                <v:fill on="f" focussize="0,0"/>
                <v:stroke weight="1.5pt" color="#FF0000" joinstyle="round"/>
                <v:imagedata o:title=""/>
                <o:lock v:ext="edit" aspectratio="f"/>
              </v:line>
            </w:pict>
          </mc:Fallback>
        </mc:AlternateContent>
      </w:r>
    </w:p>
    <w:p w14:paraId="73AD2C57" w14:textId="77777777" w:rsidR="00A11970" w:rsidRDefault="00EF0C91">
      <w:pPr>
        <w:spacing w:line="600" w:lineRule="exact"/>
        <w:jc w:val="center"/>
        <w:rPr>
          <w:rFonts w:ascii="方正小标宋简体" w:eastAsia="方正小标宋简体" w:hAnsi="方正小标宋简体" w:cs="方正小标宋简体"/>
          <w:sz w:val="44"/>
          <w:szCs w:val="44"/>
        </w:rPr>
      </w:pPr>
      <w:bookmarkStart w:id="0" w:name="_Toc250454266"/>
      <w:bookmarkStart w:id="1" w:name="_Toc251685203"/>
      <w:bookmarkStart w:id="2" w:name="_Toc260221961"/>
      <w:bookmarkStart w:id="3" w:name="_Toc250454403"/>
      <w:bookmarkStart w:id="4" w:name="_Toc250498189"/>
      <w:bookmarkStart w:id="5" w:name="_Toc250537265"/>
      <w:bookmarkStart w:id="6" w:name="_Toc251685251"/>
      <w:bookmarkEnd w:id="0"/>
      <w:bookmarkEnd w:id="1"/>
      <w:bookmarkEnd w:id="2"/>
      <w:bookmarkEnd w:id="3"/>
      <w:bookmarkEnd w:id="4"/>
      <w:bookmarkEnd w:id="5"/>
      <w:bookmarkEnd w:id="6"/>
      <w:r>
        <w:rPr>
          <w:rFonts w:ascii="方正小标宋简体" w:eastAsia="方正小标宋简体" w:hAnsi="方正小标宋简体" w:cs="方正小标宋简体" w:hint="eastAsia"/>
          <w:sz w:val="44"/>
          <w:szCs w:val="44"/>
        </w:rPr>
        <w:t>北京青年政治学院关于印发</w:t>
      </w:r>
    </w:p>
    <w:p w14:paraId="558AF001" w14:textId="77777777" w:rsidR="00A11970" w:rsidRDefault="00EF0C91">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sz w:val="44"/>
          <w:szCs w:val="44"/>
        </w:rPr>
        <w:t>北京青年政治学院</w:t>
      </w:r>
      <w:r>
        <w:rPr>
          <w:rFonts w:ascii="方正小标宋简体" w:eastAsia="方正小标宋简体" w:hAnsi="方正小标宋简体" w:cs="方正小标宋简体" w:hint="eastAsia"/>
          <w:sz w:val="44"/>
          <w:szCs w:val="44"/>
        </w:rPr>
        <w:t>公务卡</w:t>
      </w:r>
      <w:r>
        <w:rPr>
          <w:rFonts w:ascii="方正小标宋简体" w:eastAsia="方正小标宋简体" w:hAnsi="方正小标宋简体" w:cs="方正小标宋简体"/>
          <w:sz w:val="44"/>
          <w:szCs w:val="44"/>
        </w:rPr>
        <w:t>管理办法</w:t>
      </w:r>
      <w:r>
        <w:rPr>
          <w:rFonts w:ascii="方正小标宋简体" w:eastAsia="方正小标宋简体" w:hAnsi="方正小标宋简体" w:cs="方正小标宋简体" w:hint="eastAsia"/>
          <w:sz w:val="44"/>
          <w:szCs w:val="44"/>
        </w:rPr>
        <w:t>》的通知</w:t>
      </w:r>
    </w:p>
    <w:p w14:paraId="4E262D81" w14:textId="77777777" w:rsidR="00A11970" w:rsidRDefault="00A11970">
      <w:pPr>
        <w:rPr>
          <w:rFonts w:ascii="仿宋_GB2312" w:eastAsia="仿宋_GB2312" w:hAnsi="黑体"/>
          <w:sz w:val="32"/>
          <w:szCs w:val="32"/>
        </w:rPr>
      </w:pPr>
    </w:p>
    <w:p w14:paraId="29AC9138" w14:textId="77777777" w:rsidR="00A11970" w:rsidRDefault="00EF0C91">
      <w:pPr>
        <w:spacing w:line="560" w:lineRule="exact"/>
        <w:rPr>
          <w:rFonts w:ascii="楷体_GB2312" w:eastAsia="楷体_GB2312" w:hAnsi="楷体"/>
          <w:color w:val="000000"/>
          <w:sz w:val="32"/>
          <w:szCs w:val="32"/>
        </w:rPr>
      </w:pPr>
      <w:r>
        <w:rPr>
          <w:rFonts w:ascii="楷体_GB2312" w:eastAsia="楷体_GB2312" w:hAnsi="楷体" w:hint="eastAsia"/>
          <w:color w:val="000000"/>
          <w:sz w:val="32"/>
          <w:szCs w:val="32"/>
        </w:rPr>
        <w:t>各部门、单位</w:t>
      </w:r>
      <w:r>
        <w:rPr>
          <w:rFonts w:ascii="楷体_GB2312" w:eastAsia="楷体_GB2312" w:hAnsi="楷体" w:hint="eastAsia"/>
          <w:color w:val="000000"/>
          <w:sz w:val="32"/>
          <w:szCs w:val="32"/>
        </w:rPr>
        <w:t>:</w:t>
      </w:r>
    </w:p>
    <w:p w14:paraId="5C4BE5A3" w14:textId="77777777" w:rsidR="00A11970" w:rsidRDefault="00EF0C91">
      <w:pPr>
        <w:widowControl/>
        <w:spacing w:line="560" w:lineRule="exact"/>
        <w:ind w:firstLineChars="200" w:firstLine="640"/>
        <w:rPr>
          <w:rFonts w:ascii="楷体_GB2312" w:eastAsia="楷体_GB2312" w:hAnsi="楷体"/>
          <w:color w:val="000000"/>
          <w:sz w:val="32"/>
          <w:szCs w:val="32"/>
        </w:rPr>
      </w:pPr>
      <w:r>
        <w:rPr>
          <w:rFonts w:ascii="楷体_GB2312" w:eastAsia="楷体_GB2312" w:hAnsi="楷体" w:hint="eastAsia"/>
          <w:color w:val="000000"/>
          <w:sz w:val="32"/>
          <w:szCs w:val="32"/>
        </w:rPr>
        <w:t>《北京青年政治学院公务卡管理办法》</w:t>
      </w:r>
      <w:r>
        <w:rPr>
          <w:rFonts w:ascii="楷体_GB2312" w:eastAsia="楷体_GB2312" w:hAnsi="楷体" w:hint="eastAsia"/>
          <w:sz w:val="32"/>
          <w:szCs w:val="32"/>
        </w:rPr>
        <w:t>经学院</w:t>
      </w:r>
      <w:r>
        <w:rPr>
          <w:rFonts w:ascii="楷体_GB2312" w:eastAsia="楷体_GB2312" w:hAnsi="楷体" w:hint="eastAsia"/>
          <w:sz w:val="32"/>
          <w:szCs w:val="32"/>
        </w:rPr>
        <w:t>2023</w:t>
      </w:r>
      <w:r>
        <w:rPr>
          <w:rFonts w:ascii="楷体_GB2312" w:eastAsia="楷体_GB2312" w:hAnsi="楷体" w:hint="eastAsia"/>
          <w:sz w:val="32"/>
          <w:szCs w:val="32"/>
        </w:rPr>
        <w:t>年</w:t>
      </w:r>
      <w:r>
        <w:rPr>
          <w:rFonts w:ascii="楷体_GB2312" w:eastAsia="楷体_GB2312" w:hAnsi="楷体" w:hint="eastAsia"/>
          <w:sz w:val="32"/>
          <w:szCs w:val="32"/>
        </w:rPr>
        <w:t>9</w:t>
      </w:r>
      <w:r>
        <w:rPr>
          <w:rFonts w:ascii="楷体_GB2312" w:eastAsia="楷体_GB2312" w:hAnsi="楷体" w:hint="eastAsia"/>
          <w:sz w:val="32"/>
          <w:szCs w:val="32"/>
        </w:rPr>
        <w:t>月</w:t>
      </w:r>
      <w:r>
        <w:rPr>
          <w:rFonts w:ascii="楷体_GB2312" w:eastAsia="楷体_GB2312" w:hAnsi="楷体" w:hint="eastAsia"/>
          <w:sz w:val="32"/>
          <w:szCs w:val="32"/>
        </w:rPr>
        <w:t>26</w:t>
      </w:r>
      <w:r>
        <w:rPr>
          <w:rFonts w:ascii="楷体_GB2312" w:eastAsia="楷体_GB2312" w:hAnsi="楷体" w:hint="eastAsia"/>
          <w:sz w:val="32"/>
          <w:szCs w:val="32"/>
        </w:rPr>
        <w:t>日第二十二次院长办公会讨</w:t>
      </w:r>
      <w:r>
        <w:rPr>
          <w:rFonts w:ascii="楷体_GB2312" w:eastAsia="楷体_GB2312" w:hAnsi="楷体" w:hint="eastAsia"/>
          <w:color w:val="000000"/>
          <w:sz w:val="32"/>
          <w:szCs w:val="32"/>
        </w:rPr>
        <w:t>论通过</w:t>
      </w:r>
      <w:r>
        <w:rPr>
          <w:rFonts w:ascii="楷体_GB2312" w:eastAsia="楷体_GB2312" w:hAnsi="楷体" w:hint="eastAsia"/>
          <w:color w:val="000000" w:themeColor="text1"/>
          <w:sz w:val="32"/>
          <w:szCs w:val="32"/>
        </w:rPr>
        <w:t>，现印发给你们，请认真遵照执行。</w:t>
      </w:r>
    </w:p>
    <w:p w14:paraId="66B58550" w14:textId="77777777" w:rsidR="00A11970" w:rsidRDefault="00A11970">
      <w:pPr>
        <w:spacing w:line="560" w:lineRule="exact"/>
        <w:jc w:val="center"/>
        <w:rPr>
          <w:rFonts w:ascii="楷体_GB2312" w:eastAsia="楷体_GB2312" w:hAnsi="楷体"/>
          <w:bCs/>
          <w:color w:val="000000" w:themeColor="text1"/>
          <w:sz w:val="44"/>
          <w:szCs w:val="44"/>
        </w:rPr>
      </w:pPr>
    </w:p>
    <w:p w14:paraId="5CC84BDE" w14:textId="77777777" w:rsidR="00A11970" w:rsidRDefault="00A11970">
      <w:pPr>
        <w:pStyle w:val="2"/>
        <w:spacing w:line="560" w:lineRule="exact"/>
        <w:rPr>
          <w:rFonts w:ascii="楷体_GB2312" w:eastAsia="楷体_GB2312"/>
        </w:rPr>
      </w:pPr>
    </w:p>
    <w:p w14:paraId="0B135C84" w14:textId="77777777" w:rsidR="00A11970" w:rsidRDefault="00EF0C91">
      <w:pPr>
        <w:spacing w:line="560" w:lineRule="exact"/>
        <w:ind w:firstLineChars="1500" w:firstLine="4800"/>
        <w:jc w:val="left"/>
        <w:rPr>
          <w:rFonts w:ascii="楷体_GB2312" w:eastAsia="楷体_GB2312" w:hAnsi="楷体"/>
          <w:color w:val="000000" w:themeColor="text1"/>
          <w:sz w:val="32"/>
          <w:szCs w:val="32"/>
        </w:rPr>
      </w:pPr>
      <w:r>
        <w:rPr>
          <w:rFonts w:ascii="楷体_GB2312" w:eastAsia="楷体_GB2312" w:hAnsi="楷体" w:hint="eastAsia"/>
          <w:color w:val="000000" w:themeColor="text1"/>
          <w:sz w:val="32"/>
          <w:szCs w:val="32"/>
        </w:rPr>
        <w:t>北京青年政治学院</w:t>
      </w:r>
    </w:p>
    <w:p w14:paraId="00D0F7C4" w14:textId="77777777" w:rsidR="00A11970" w:rsidRDefault="00EF0C91">
      <w:pPr>
        <w:spacing w:line="560" w:lineRule="exact"/>
        <w:ind w:firstLineChars="1500" w:firstLine="4800"/>
        <w:jc w:val="left"/>
        <w:rPr>
          <w:rFonts w:ascii="楷体_GB2312" w:eastAsia="楷体_GB2312" w:hAnsi="楷体"/>
          <w:color w:val="000000" w:themeColor="text1"/>
          <w:sz w:val="32"/>
          <w:szCs w:val="32"/>
        </w:rPr>
      </w:pPr>
      <w:r>
        <w:rPr>
          <w:rFonts w:ascii="楷体_GB2312" w:eastAsia="楷体_GB2312" w:hAnsi="楷体" w:hint="eastAsia"/>
          <w:color w:val="000000" w:themeColor="text1"/>
          <w:sz w:val="32"/>
          <w:szCs w:val="32"/>
        </w:rPr>
        <w:t>2023</w:t>
      </w:r>
      <w:r>
        <w:rPr>
          <w:rFonts w:ascii="楷体_GB2312" w:eastAsia="楷体_GB2312" w:hAnsi="楷体" w:hint="eastAsia"/>
          <w:color w:val="000000" w:themeColor="text1"/>
          <w:sz w:val="32"/>
          <w:szCs w:val="32"/>
        </w:rPr>
        <w:t>年</w:t>
      </w:r>
      <w:r>
        <w:rPr>
          <w:rFonts w:ascii="楷体_GB2312" w:eastAsia="楷体_GB2312" w:hAnsi="楷体" w:hint="eastAsia"/>
          <w:color w:val="000000" w:themeColor="text1"/>
          <w:sz w:val="32"/>
          <w:szCs w:val="32"/>
        </w:rPr>
        <w:t>10</w:t>
      </w:r>
      <w:r>
        <w:rPr>
          <w:rFonts w:ascii="楷体_GB2312" w:eastAsia="楷体_GB2312" w:hAnsi="楷体" w:hint="eastAsia"/>
          <w:color w:val="000000" w:themeColor="text1"/>
          <w:sz w:val="32"/>
          <w:szCs w:val="32"/>
        </w:rPr>
        <w:t>月</w:t>
      </w:r>
      <w:r>
        <w:rPr>
          <w:rFonts w:ascii="楷体_GB2312" w:eastAsia="楷体_GB2312" w:hAnsi="楷体" w:hint="eastAsia"/>
          <w:color w:val="000000" w:themeColor="text1"/>
          <w:sz w:val="32"/>
          <w:szCs w:val="32"/>
        </w:rPr>
        <w:t>10</w:t>
      </w:r>
      <w:r>
        <w:rPr>
          <w:rFonts w:ascii="楷体_GB2312" w:eastAsia="楷体_GB2312" w:hAnsi="楷体" w:hint="eastAsia"/>
          <w:color w:val="000000" w:themeColor="text1"/>
          <w:sz w:val="32"/>
          <w:szCs w:val="32"/>
        </w:rPr>
        <w:t>日</w:t>
      </w:r>
    </w:p>
    <w:p w14:paraId="6BBDDC70" w14:textId="77777777" w:rsidR="00A11970" w:rsidRDefault="00A11970">
      <w:pPr>
        <w:spacing w:line="560" w:lineRule="exact"/>
        <w:ind w:firstLineChars="200" w:firstLine="640"/>
        <w:rPr>
          <w:rFonts w:ascii="仿宋_GB2312" w:eastAsia="仿宋_GB2312" w:hAnsi="黑体"/>
          <w:sz w:val="32"/>
          <w:szCs w:val="32"/>
        </w:rPr>
      </w:pPr>
    </w:p>
    <w:p w14:paraId="6DBEA468" w14:textId="77777777" w:rsidR="00A11970" w:rsidRDefault="00A11970">
      <w:pPr>
        <w:pStyle w:val="2"/>
      </w:pPr>
    </w:p>
    <w:p w14:paraId="45B60891" w14:textId="77777777" w:rsidR="00A11970" w:rsidRDefault="00EF0C91">
      <w:pPr>
        <w:tabs>
          <w:tab w:val="left" w:pos="630"/>
        </w:tabs>
        <w:adjustRightInd w:val="0"/>
        <w:snapToGrid w:val="0"/>
        <w:spacing w:line="360" w:lineRule="auto"/>
        <w:jc w:val="center"/>
        <w:rPr>
          <w:rFonts w:ascii="方正小标宋_GBK" w:eastAsia="方正小标宋_GBK"/>
          <w:sz w:val="44"/>
          <w:szCs w:val="44"/>
        </w:rPr>
      </w:pPr>
      <w:r>
        <w:rPr>
          <w:rFonts w:ascii="方正小标宋简体" w:eastAsia="方正小标宋简体" w:hAnsi="华文中宋" w:hint="eastAsia"/>
          <w:sz w:val="44"/>
          <w:szCs w:val="44"/>
        </w:rPr>
        <w:lastRenderedPageBreak/>
        <w:t>北京青年政治学院公务卡管理办法</w:t>
      </w:r>
    </w:p>
    <w:p w14:paraId="737373F8" w14:textId="4B1BE792" w:rsidR="00A11970" w:rsidRDefault="00EF0C91">
      <w:pPr>
        <w:tabs>
          <w:tab w:val="left" w:pos="630"/>
        </w:tabs>
        <w:adjustRightInd w:val="0"/>
        <w:snapToGrid w:val="0"/>
        <w:spacing w:line="360" w:lineRule="auto"/>
        <w:jc w:val="center"/>
        <w:rPr>
          <w:rFonts w:ascii="仿宋_GB2312" w:eastAsia="仿宋_GB2312" w:hAnsi="仿宋_GB2312" w:cs="仿宋_GB2312"/>
          <w:bCs/>
          <w:color w:val="000000"/>
          <w:kern w:val="0"/>
          <w:sz w:val="32"/>
          <w:szCs w:val="32"/>
        </w:rPr>
      </w:pPr>
      <w:bookmarkStart w:id="7" w:name="_Hlk137125618"/>
      <w:r>
        <w:rPr>
          <w:rFonts w:ascii="仿宋_GB2312" w:eastAsia="仿宋_GB2312" w:hAnsi="仿宋_GB2312" w:cs="仿宋_GB2312" w:hint="eastAsia"/>
          <w:bCs/>
          <w:color w:val="000000"/>
          <w:kern w:val="0"/>
          <w:sz w:val="32"/>
          <w:szCs w:val="32"/>
        </w:rPr>
        <w:t>（</w:t>
      </w:r>
      <w:r>
        <w:rPr>
          <w:rFonts w:ascii="仿宋_GB2312" w:eastAsia="仿宋_GB2312" w:hAnsi="仿宋_GB2312" w:cs="仿宋_GB2312" w:hint="eastAsia"/>
          <w:bCs/>
          <w:color w:val="000000"/>
          <w:kern w:val="0"/>
          <w:sz w:val="32"/>
          <w:szCs w:val="32"/>
        </w:rPr>
        <w:t>2013</w:t>
      </w:r>
      <w:r>
        <w:rPr>
          <w:rFonts w:ascii="仿宋_GB2312" w:eastAsia="仿宋_GB2312" w:hAnsi="仿宋_GB2312" w:cs="仿宋_GB2312" w:hint="eastAsia"/>
          <w:bCs/>
          <w:color w:val="000000"/>
          <w:kern w:val="0"/>
          <w:sz w:val="32"/>
          <w:szCs w:val="32"/>
        </w:rPr>
        <w:t>年</w:t>
      </w:r>
      <w:r>
        <w:rPr>
          <w:rFonts w:ascii="仿宋_GB2312" w:eastAsia="仿宋_GB2312" w:hAnsi="仿宋_GB2312" w:cs="仿宋_GB2312" w:hint="eastAsia"/>
          <w:bCs/>
          <w:color w:val="000000"/>
          <w:kern w:val="0"/>
          <w:sz w:val="32"/>
          <w:szCs w:val="32"/>
        </w:rPr>
        <w:t>3</w:t>
      </w:r>
      <w:r>
        <w:rPr>
          <w:rFonts w:ascii="仿宋_GB2312" w:eastAsia="仿宋_GB2312" w:hAnsi="仿宋_GB2312" w:cs="仿宋_GB2312" w:hint="eastAsia"/>
          <w:bCs/>
          <w:color w:val="000000"/>
          <w:kern w:val="0"/>
          <w:sz w:val="32"/>
          <w:szCs w:val="32"/>
        </w:rPr>
        <w:t>月</w:t>
      </w:r>
      <w:r>
        <w:rPr>
          <w:rFonts w:ascii="仿宋_GB2312" w:eastAsia="仿宋_GB2312" w:hAnsi="仿宋_GB2312" w:cs="仿宋_GB2312" w:hint="eastAsia"/>
          <w:bCs/>
          <w:color w:val="000000"/>
          <w:kern w:val="0"/>
          <w:sz w:val="32"/>
          <w:szCs w:val="32"/>
        </w:rPr>
        <w:t>5</w:t>
      </w:r>
      <w:r>
        <w:rPr>
          <w:rFonts w:ascii="仿宋_GB2312" w:eastAsia="仿宋_GB2312" w:hAnsi="仿宋_GB2312" w:cs="仿宋_GB2312" w:hint="eastAsia"/>
          <w:bCs/>
          <w:color w:val="000000"/>
          <w:kern w:val="0"/>
          <w:sz w:val="32"/>
          <w:szCs w:val="32"/>
        </w:rPr>
        <w:t>日发布</w:t>
      </w:r>
      <w:r>
        <w:rPr>
          <w:rFonts w:ascii="仿宋_GB2312" w:eastAsia="仿宋_GB2312" w:hAnsi="仿宋_GB2312" w:cs="仿宋_GB2312" w:hint="eastAsia"/>
          <w:bCs/>
          <w:color w:val="000000"/>
          <w:kern w:val="0"/>
          <w:sz w:val="32"/>
          <w:szCs w:val="32"/>
        </w:rPr>
        <w:t xml:space="preserve">  </w:t>
      </w:r>
      <w:r>
        <w:rPr>
          <w:rFonts w:ascii="仿宋_GB2312" w:eastAsia="仿宋_GB2312" w:hAnsi="仿宋_GB2312" w:cs="仿宋_GB2312" w:hint="eastAsia"/>
          <w:bCs/>
          <w:color w:val="000000"/>
          <w:kern w:val="0"/>
          <w:sz w:val="32"/>
          <w:szCs w:val="32"/>
        </w:rPr>
        <w:t>2022</w:t>
      </w:r>
      <w:r>
        <w:rPr>
          <w:rFonts w:ascii="仿宋_GB2312" w:eastAsia="仿宋_GB2312" w:hAnsi="仿宋_GB2312" w:cs="仿宋_GB2312" w:hint="eastAsia"/>
          <w:bCs/>
          <w:color w:val="000000"/>
          <w:kern w:val="0"/>
          <w:sz w:val="32"/>
          <w:szCs w:val="32"/>
        </w:rPr>
        <w:t>年</w:t>
      </w:r>
      <w:r>
        <w:rPr>
          <w:rFonts w:ascii="仿宋_GB2312" w:eastAsia="仿宋_GB2312" w:hAnsi="仿宋_GB2312" w:cs="仿宋_GB2312" w:hint="eastAsia"/>
          <w:bCs/>
          <w:color w:val="000000"/>
          <w:kern w:val="0"/>
          <w:sz w:val="32"/>
          <w:szCs w:val="32"/>
        </w:rPr>
        <w:t>5</w:t>
      </w:r>
      <w:r>
        <w:rPr>
          <w:rFonts w:ascii="仿宋_GB2312" w:eastAsia="仿宋_GB2312" w:hAnsi="仿宋_GB2312" w:cs="仿宋_GB2312" w:hint="eastAsia"/>
          <w:bCs/>
          <w:color w:val="000000"/>
          <w:kern w:val="0"/>
          <w:sz w:val="32"/>
          <w:szCs w:val="32"/>
        </w:rPr>
        <w:t>月</w:t>
      </w:r>
      <w:r>
        <w:rPr>
          <w:rFonts w:ascii="仿宋_GB2312" w:eastAsia="仿宋_GB2312" w:hAnsi="仿宋_GB2312" w:cs="仿宋_GB2312" w:hint="eastAsia"/>
          <w:bCs/>
          <w:color w:val="000000"/>
          <w:kern w:val="0"/>
          <w:sz w:val="32"/>
          <w:szCs w:val="32"/>
        </w:rPr>
        <w:t>11</w:t>
      </w:r>
      <w:r>
        <w:rPr>
          <w:rFonts w:ascii="仿宋_GB2312" w:eastAsia="仿宋_GB2312" w:hAnsi="仿宋_GB2312" w:cs="仿宋_GB2312" w:hint="eastAsia"/>
          <w:bCs/>
          <w:color w:val="000000"/>
          <w:kern w:val="0"/>
          <w:sz w:val="32"/>
          <w:szCs w:val="32"/>
        </w:rPr>
        <w:t>日</w:t>
      </w:r>
      <w:r>
        <w:rPr>
          <w:rFonts w:ascii="仿宋_GB2312" w:eastAsia="仿宋_GB2312" w:hAnsi="仿宋_GB2312" w:cs="仿宋_GB2312" w:hint="eastAsia"/>
          <w:bCs/>
          <w:color w:val="000000"/>
          <w:kern w:val="0"/>
          <w:sz w:val="32"/>
          <w:szCs w:val="32"/>
        </w:rPr>
        <w:t>院长办公会</w:t>
      </w:r>
    </w:p>
    <w:p w14:paraId="1D8F9CFB" w14:textId="4DB49611" w:rsidR="00A11970" w:rsidRDefault="00EF0C91">
      <w:pPr>
        <w:tabs>
          <w:tab w:val="left" w:pos="630"/>
        </w:tabs>
        <w:adjustRightInd w:val="0"/>
        <w:snapToGrid w:val="0"/>
        <w:spacing w:line="360" w:lineRule="auto"/>
        <w:jc w:val="center"/>
        <w:rPr>
          <w:rFonts w:ascii="仿宋_GB2312" w:eastAsia="仿宋_GB2312" w:hAnsi="仿宋_GB2312" w:cs="仿宋_GB2312"/>
          <w:bCs/>
          <w:color w:val="000000"/>
          <w:kern w:val="0"/>
          <w:sz w:val="32"/>
          <w:szCs w:val="32"/>
        </w:rPr>
      </w:pPr>
      <w:r>
        <w:rPr>
          <w:rFonts w:ascii="仿宋_GB2312" w:eastAsia="仿宋_GB2312" w:hAnsi="仿宋_GB2312" w:cs="仿宋_GB2312" w:hint="eastAsia"/>
          <w:bCs/>
          <w:color w:val="000000"/>
          <w:kern w:val="0"/>
          <w:sz w:val="32"/>
          <w:szCs w:val="32"/>
        </w:rPr>
        <w:t>2022</w:t>
      </w:r>
      <w:r>
        <w:rPr>
          <w:rFonts w:ascii="仿宋_GB2312" w:eastAsia="仿宋_GB2312" w:hAnsi="仿宋_GB2312" w:cs="仿宋_GB2312" w:hint="eastAsia"/>
          <w:bCs/>
          <w:color w:val="000000"/>
          <w:kern w:val="0"/>
          <w:sz w:val="32"/>
          <w:szCs w:val="32"/>
        </w:rPr>
        <w:t>年</w:t>
      </w:r>
      <w:r>
        <w:rPr>
          <w:rFonts w:ascii="仿宋_GB2312" w:eastAsia="仿宋_GB2312" w:hAnsi="仿宋_GB2312" w:cs="仿宋_GB2312" w:hint="eastAsia"/>
          <w:bCs/>
          <w:color w:val="000000"/>
          <w:kern w:val="0"/>
          <w:sz w:val="32"/>
          <w:szCs w:val="32"/>
        </w:rPr>
        <w:t>第</w:t>
      </w:r>
      <w:r>
        <w:rPr>
          <w:rFonts w:ascii="仿宋_GB2312" w:eastAsia="仿宋_GB2312" w:hAnsi="仿宋_GB2312" w:cs="仿宋_GB2312" w:hint="eastAsia"/>
          <w:bCs/>
          <w:color w:val="000000"/>
          <w:kern w:val="0"/>
          <w:sz w:val="32"/>
          <w:szCs w:val="32"/>
        </w:rPr>
        <w:t>9</w:t>
      </w:r>
      <w:r>
        <w:rPr>
          <w:rFonts w:ascii="仿宋_GB2312" w:eastAsia="仿宋_GB2312" w:hAnsi="仿宋_GB2312" w:cs="仿宋_GB2312" w:hint="eastAsia"/>
          <w:bCs/>
          <w:color w:val="000000"/>
          <w:kern w:val="0"/>
          <w:sz w:val="32"/>
          <w:szCs w:val="32"/>
        </w:rPr>
        <w:t>次</w:t>
      </w:r>
      <w:r>
        <w:rPr>
          <w:rFonts w:ascii="仿宋_GB2312" w:eastAsia="仿宋_GB2312" w:hAnsi="仿宋_GB2312" w:cs="仿宋_GB2312" w:hint="eastAsia"/>
          <w:bCs/>
          <w:color w:val="000000"/>
          <w:kern w:val="0"/>
          <w:sz w:val="32"/>
          <w:szCs w:val="32"/>
        </w:rPr>
        <w:t>会议</w:t>
      </w:r>
      <w:r>
        <w:rPr>
          <w:rFonts w:ascii="仿宋_GB2312" w:eastAsia="仿宋_GB2312" w:hAnsi="仿宋_GB2312" w:cs="仿宋_GB2312" w:hint="eastAsia"/>
          <w:bCs/>
          <w:color w:val="000000"/>
          <w:kern w:val="0"/>
          <w:sz w:val="32"/>
          <w:szCs w:val="32"/>
        </w:rPr>
        <w:t>第</w:t>
      </w:r>
      <w:r>
        <w:rPr>
          <w:rFonts w:ascii="仿宋_GB2312" w:eastAsia="仿宋_GB2312" w:hAnsi="仿宋_GB2312" w:cs="仿宋_GB2312" w:hint="eastAsia"/>
          <w:bCs/>
          <w:color w:val="000000"/>
          <w:kern w:val="0"/>
          <w:sz w:val="32"/>
          <w:szCs w:val="32"/>
        </w:rPr>
        <w:t>一次修订</w:t>
      </w:r>
      <w:r>
        <w:rPr>
          <w:rFonts w:ascii="仿宋_GB2312" w:eastAsia="仿宋_GB2312" w:hAnsi="仿宋_GB2312" w:cs="仿宋_GB2312" w:hint="eastAsia"/>
          <w:bCs/>
          <w:color w:val="000000"/>
          <w:kern w:val="0"/>
          <w:sz w:val="32"/>
          <w:szCs w:val="32"/>
        </w:rPr>
        <w:t xml:space="preserve">  </w:t>
      </w:r>
      <w:r>
        <w:rPr>
          <w:rFonts w:ascii="仿宋_GB2312" w:eastAsia="仿宋_GB2312" w:hAnsi="仿宋_GB2312" w:cs="仿宋_GB2312" w:hint="eastAsia"/>
          <w:bCs/>
          <w:color w:val="000000"/>
          <w:kern w:val="0"/>
          <w:sz w:val="32"/>
          <w:szCs w:val="32"/>
        </w:rPr>
        <w:t>202</w:t>
      </w:r>
      <w:r>
        <w:rPr>
          <w:rFonts w:ascii="仿宋_GB2312" w:eastAsia="仿宋_GB2312" w:hAnsi="仿宋_GB2312" w:cs="仿宋_GB2312"/>
          <w:bCs/>
          <w:color w:val="000000"/>
          <w:kern w:val="0"/>
          <w:sz w:val="32"/>
          <w:szCs w:val="32"/>
        </w:rPr>
        <w:t>3</w:t>
      </w:r>
      <w:r>
        <w:rPr>
          <w:rFonts w:ascii="仿宋_GB2312" w:eastAsia="仿宋_GB2312" w:hAnsi="仿宋_GB2312" w:cs="仿宋_GB2312" w:hint="eastAsia"/>
          <w:bCs/>
          <w:color w:val="000000"/>
          <w:kern w:val="0"/>
          <w:sz w:val="32"/>
          <w:szCs w:val="32"/>
        </w:rPr>
        <w:t>年</w:t>
      </w:r>
      <w:r>
        <w:rPr>
          <w:rFonts w:ascii="仿宋_GB2312" w:eastAsia="仿宋_GB2312" w:hAnsi="仿宋_GB2312" w:cs="仿宋_GB2312" w:hint="eastAsia"/>
          <w:bCs/>
          <w:color w:val="000000"/>
          <w:kern w:val="0"/>
          <w:sz w:val="32"/>
          <w:szCs w:val="32"/>
        </w:rPr>
        <w:t>9</w:t>
      </w:r>
      <w:r>
        <w:rPr>
          <w:rFonts w:ascii="仿宋_GB2312" w:eastAsia="仿宋_GB2312" w:hAnsi="仿宋_GB2312" w:cs="仿宋_GB2312" w:hint="eastAsia"/>
          <w:bCs/>
          <w:color w:val="000000"/>
          <w:kern w:val="0"/>
          <w:sz w:val="32"/>
          <w:szCs w:val="32"/>
        </w:rPr>
        <w:t>月</w:t>
      </w:r>
      <w:r>
        <w:rPr>
          <w:rFonts w:ascii="仿宋_GB2312" w:eastAsia="仿宋_GB2312" w:hAnsi="仿宋_GB2312" w:cs="仿宋_GB2312" w:hint="eastAsia"/>
          <w:bCs/>
          <w:color w:val="000000"/>
          <w:kern w:val="0"/>
          <w:sz w:val="32"/>
          <w:szCs w:val="32"/>
        </w:rPr>
        <w:t>26</w:t>
      </w:r>
      <w:r>
        <w:rPr>
          <w:rFonts w:ascii="仿宋_GB2312" w:eastAsia="仿宋_GB2312" w:hAnsi="仿宋_GB2312" w:cs="仿宋_GB2312" w:hint="eastAsia"/>
          <w:bCs/>
          <w:color w:val="000000"/>
          <w:kern w:val="0"/>
          <w:sz w:val="32"/>
          <w:szCs w:val="32"/>
        </w:rPr>
        <w:t>日</w:t>
      </w:r>
      <w:r>
        <w:rPr>
          <w:rFonts w:ascii="仿宋_GB2312" w:eastAsia="仿宋_GB2312" w:hAnsi="仿宋_GB2312" w:cs="仿宋_GB2312" w:hint="eastAsia"/>
          <w:bCs/>
          <w:color w:val="000000"/>
          <w:kern w:val="0"/>
          <w:sz w:val="32"/>
          <w:szCs w:val="32"/>
        </w:rPr>
        <w:t>院长办公会</w:t>
      </w:r>
    </w:p>
    <w:p w14:paraId="17962A67" w14:textId="796252D6" w:rsidR="00A11970" w:rsidRDefault="00EF0C91">
      <w:pPr>
        <w:tabs>
          <w:tab w:val="left" w:pos="630"/>
        </w:tabs>
        <w:adjustRightInd w:val="0"/>
        <w:snapToGrid w:val="0"/>
        <w:spacing w:line="360" w:lineRule="auto"/>
        <w:jc w:val="center"/>
        <w:rPr>
          <w:rFonts w:ascii="方正小标宋_GBK" w:eastAsia="方正小标宋_GBK"/>
          <w:sz w:val="44"/>
          <w:szCs w:val="44"/>
        </w:rPr>
      </w:pPr>
      <w:r>
        <w:rPr>
          <w:rFonts w:ascii="仿宋_GB2312" w:eastAsia="仿宋_GB2312" w:hAnsi="仿宋_GB2312" w:cs="仿宋_GB2312" w:hint="eastAsia"/>
          <w:bCs/>
          <w:color w:val="000000"/>
          <w:kern w:val="0"/>
          <w:sz w:val="32"/>
          <w:szCs w:val="32"/>
        </w:rPr>
        <w:t>2023</w:t>
      </w:r>
      <w:r>
        <w:rPr>
          <w:rFonts w:ascii="仿宋_GB2312" w:eastAsia="仿宋_GB2312" w:hAnsi="仿宋_GB2312" w:cs="仿宋_GB2312" w:hint="eastAsia"/>
          <w:bCs/>
          <w:color w:val="000000"/>
          <w:kern w:val="0"/>
          <w:sz w:val="32"/>
          <w:szCs w:val="32"/>
        </w:rPr>
        <w:t>年</w:t>
      </w:r>
      <w:r>
        <w:rPr>
          <w:rFonts w:ascii="仿宋_GB2312" w:eastAsia="仿宋_GB2312" w:hAnsi="仿宋_GB2312" w:cs="仿宋_GB2312" w:hint="eastAsia"/>
          <w:bCs/>
          <w:color w:val="000000"/>
          <w:kern w:val="0"/>
          <w:sz w:val="32"/>
          <w:szCs w:val="32"/>
        </w:rPr>
        <w:t>第</w:t>
      </w:r>
      <w:r>
        <w:rPr>
          <w:rFonts w:ascii="仿宋_GB2312" w:eastAsia="仿宋_GB2312" w:hAnsi="仿宋_GB2312" w:cs="仿宋_GB2312" w:hint="eastAsia"/>
          <w:bCs/>
          <w:color w:val="000000"/>
          <w:kern w:val="0"/>
          <w:sz w:val="32"/>
          <w:szCs w:val="32"/>
        </w:rPr>
        <w:t>22</w:t>
      </w:r>
      <w:r>
        <w:rPr>
          <w:rFonts w:ascii="仿宋_GB2312" w:eastAsia="仿宋_GB2312" w:hAnsi="仿宋_GB2312" w:cs="仿宋_GB2312" w:hint="eastAsia"/>
          <w:bCs/>
          <w:color w:val="000000"/>
          <w:kern w:val="0"/>
          <w:sz w:val="32"/>
          <w:szCs w:val="32"/>
        </w:rPr>
        <w:t>次</w:t>
      </w:r>
      <w:r>
        <w:rPr>
          <w:rFonts w:ascii="仿宋_GB2312" w:eastAsia="仿宋_GB2312" w:hAnsi="仿宋_GB2312" w:cs="仿宋_GB2312" w:hint="eastAsia"/>
          <w:bCs/>
          <w:color w:val="000000"/>
          <w:kern w:val="0"/>
          <w:sz w:val="32"/>
          <w:szCs w:val="32"/>
        </w:rPr>
        <w:t>会议</w:t>
      </w:r>
      <w:r>
        <w:rPr>
          <w:rFonts w:ascii="仿宋_GB2312" w:eastAsia="仿宋_GB2312" w:hAnsi="仿宋_GB2312" w:cs="仿宋_GB2312" w:hint="eastAsia"/>
          <w:bCs/>
          <w:color w:val="000000"/>
          <w:kern w:val="0"/>
          <w:sz w:val="32"/>
          <w:szCs w:val="32"/>
        </w:rPr>
        <w:t>第二次修订</w:t>
      </w:r>
      <w:r>
        <w:rPr>
          <w:rFonts w:ascii="仿宋_GB2312" w:eastAsia="仿宋_GB2312" w:hAnsi="仿宋_GB2312" w:cs="仿宋_GB2312" w:hint="eastAsia"/>
          <w:bCs/>
          <w:color w:val="000000"/>
          <w:kern w:val="0"/>
          <w:sz w:val="32"/>
          <w:szCs w:val="32"/>
        </w:rPr>
        <w:t xml:space="preserve">  </w:t>
      </w:r>
      <w:r>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hint="eastAsia"/>
          <w:sz w:val="32"/>
          <w:szCs w:val="32"/>
        </w:rPr>
        <w:t>10</w:t>
      </w:r>
      <w:r>
        <w:rPr>
          <w:rFonts w:ascii="仿宋_GB2312" w:eastAsia="仿宋_GB2312" w:hint="eastAsia"/>
          <w:sz w:val="32"/>
          <w:szCs w:val="32"/>
        </w:rPr>
        <w:t>月</w:t>
      </w:r>
      <w:r>
        <w:rPr>
          <w:rFonts w:ascii="仿宋_GB2312" w:eastAsia="仿宋_GB2312" w:hint="eastAsia"/>
          <w:sz w:val="32"/>
          <w:szCs w:val="32"/>
        </w:rPr>
        <w:t>10</w:t>
      </w:r>
      <w:r>
        <w:rPr>
          <w:rFonts w:ascii="仿宋_GB2312" w:eastAsia="仿宋_GB2312" w:hint="eastAsia"/>
          <w:sz w:val="32"/>
          <w:szCs w:val="32"/>
        </w:rPr>
        <w:t>日发布</w:t>
      </w:r>
      <w:r>
        <w:rPr>
          <w:rFonts w:ascii="仿宋_GB2312" w:eastAsia="仿宋_GB2312" w:hAnsi="仿宋_GB2312" w:cs="仿宋_GB2312" w:hint="eastAsia"/>
          <w:bCs/>
          <w:color w:val="000000"/>
          <w:kern w:val="0"/>
          <w:sz w:val="32"/>
          <w:szCs w:val="32"/>
        </w:rPr>
        <w:t>）</w:t>
      </w:r>
      <w:bookmarkEnd w:id="7"/>
    </w:p>
    <w:p w14:paraId="76E55FDF" w14:textId="77777777" w:rsidR="00A11970" w:rsidRDefault="00EF0C91">
      <w:pPr>
        <w:spacing w:line="480" w:lineRule="auto"/>
        <w:jc w:val="center"/>
        <w:rPr>
          <w:rFonts w:ascii="黑体" w:eastAsia="黑体"/>
          <w:sz w:val="32"/>
          <w:szCs w:val="32"/>
        </w:rPr>
      </w:pPr>
      <w:r>
        <w:rPr>
          <w:rFonts w:ascii="黑体" w:eastAsia="黑体" w:hint="eastAsia"/>
          <w:sz w:val="32"/>
          <w:szCs w:val="32"/>
        </w:rPr>
        <w:t>一、总则</w:t>
      </w:r>
    </w:p>
    <w:p w14:paraId="589BDF87"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第一条</w:t>
      </w:r>
      <w:r>
        <w:rPr>
          <w:rFonts w:ascii="仿宋_GB2312" w:eastAsia="仿宋_GB2312" w:hAnsi="仿宋_GB2312" w:cs="仿宋_GB2312" w:hint="eastAsia"/>
          <w:b/>
          <w:bCs/>
          <w:sz w:val="32"/>
          <w:szCs w:val="32"/>
        </w:rPr>
        <w:t xml:space="preserve"> </w:t>
      </w:r>
      <w:r>
        <w:rPr>
          <w:rFonts w:ascii="仿宋_GB2312" w:eastAsia="仿宋_GB2312" w:hint="eastAsia"/>
          <w:sz w:val="32"/>
          <w:szCs w:val="32"/>
        </w:rPr>
        <w:t>为加强和规范公务支出管理，进一步推进公务卡制度改革，扩大公务卡使用范围，切实减少公务支出中的现金提取和使用，根据《财政部</w:t>
      </w:r>
      <w:r>
        <w:rPr>
          <w:rFonts w:ascii="仿宋_GB2312" w:eastAsia="仿宋_GB2312" w:hint="eastAsia"/>
          <w:sz w:val="32"/>
          <w:szCs w:val="32"/>
        </w:rPr>
        <w:t xml:space="preserve"> </w:t>
      </w:r>
      <w:r>
        <w:rPr>
          <w:rFonts w:ascii="仿宋_GB2312" w:eastAsia="仿宋_GB2312" w:hint="eastAsia"/>
          <w:sz w:val="32"/>
          <w:szCs w:val="32"/>
        </w:rPr>
        <w:t>中国人民银行关于加快推进公务卡制度改革的通知》（财库〔</w:t>
      </w:r>
      <w:r>
        <w:rPr>
          <w:rFonts w:ascii="仿宋_GB2312" w:eastAsia="仿宋_GB2312" w:hint="eastAsia"/>
          <w:sz w:val="32"/>
          <w:szCs w:val="32"/>
        </w:rPr>
        <w:t>2012</w:t>
      </w:r>
      <w:r>
        <w:rPr>
          <w:rFonts w:ascii="仿宋_GB2312" w:eastAsia="仿宋_GB2312" w:hint="eastAsia"/>
          <w:sz w:val="32"/>
          <w:szCs w:val="32"/>
        </w:rPr>
        <w:t>〕</w:t>
      </w:r>
      <w:r>
        <w:rPr>
          <w:rFonts w:ascii="仿宋_GB2312" w:eastAsia="仿宋_GB2312" w:hint="eastAsia"/>
          <w:sz w:val="32"/>
          <w:szCs w:val="32"/>
        </w:rPr>
        <w:t>132</w:t>
      </w:r>
      <w:r>
        <w:rPr>
          <w:rFonts w:ascii="仿宋_GB2312" w:eastAsia="仿宋_GB2312" w:hint="eastAsia"/>
          <w:sz w:val="32"/>
          <w:szCs w:val="32"/>
        </w:rPr>
        <w:t>号）和《北京市财政局</w:t>
      </w:r>
      <w:r>
        <w:rPr>
          <w:rFonts w:ascii="仿宋_GB2312" w:eastAsia="仿宋_GB2312" w:hint="eastAsia"/>
          <w:sz w:val="32"/>
          <w:szCs w:val="32"/>
        </w:rPr>
        <w:t xml:space="preserve"> </w:t>
      </w:r>
      <w:r>
        <w:rPr>
          <w:rFonts w:ascii="仿宋_GB2312" w:eastAsia="仿宋_GB2312" w:hint="eastAsia"/>
          <w:sz w:val="32"/>
          <w:szCs w:val="32"/>
        </w:rPr>
        <w:t>中国人民银行营业管理部关于印发北京市市级行政事业单位公务卡管理暂行办法的通知》（</w:t>
      </w:r>
      <w:proofErr w:type="gramStart"/>
      <w:r>
        <w:rPr>
          <w:rFonts w:ascii="仿宋_GB2312" w:eastAsia="仿宋_GB2312" w:hint="eastAsia"/>
          <w:sz w:val="32"/>
          <w:szCs w:val="32"/>
        </w:rPr>
        <w:t>京财国库</w:t>
      </w:r>
      <w:proofErr w:type="gramEnd"/>
      <w:r>
        <w:rPr>
          <w:rFonts w:ascii="仿宋_GB2312" w:eastAsia="仿宋_GB2312" w:hint="eastAsia"/>
          <w:sz w:val="32"/>
          <w:szCs w:val="32"/>
        </w:rPr>
        <w:t>〔</w:t>
      </w:r>
      <w:r>
        <w:rPr>
          <w:rFonts w:ascii="仿宋_GB2312" w:eastAsia="仿宋_GB2312" w:hint="eastAsia"/>
          <w:sz w:val="32"/>
          <w:szCs w:val="32"/>
        </w:rPr>
        <w:t>2007</w:t>
      </w:r>
      <w:r>
        <w:rPr>
          <w:rFonts w:ascii="仿宋_GB2312" w:eastAsia="仿宋_GB2312" w:hint="eastAsia"/>
          <w:sz w:val="32"/>
          <w:szCs w:val="32"/>
        </w:rPr>
        <w:t>〕</w:t>
      </w:r>
      <w:r>
        <w:rPr>
          <w:rFonts w:ascii="仿宋_GB2312" w:eastAsia="仿宋_GB2312" w:hint="eastAsia"/>
          <w:sz w:val="32"/>
          <w:szCs w:val="32"/>
        </w:rPr>
        <w:t>3293</w:t>
      </w:r>
      <w:r>
        <w:rPr>
          <w:rFonts w:ascii="仿宋_GB2312" w:eastAsia="仿宋_GB2312" w:hint="eastAsia"/>
          <w:sz w:val="32"/>
          <w:szCs w:val="32"/>
        </w:rPr>
        <w:t>号）等有关规定，参照《北京市财政局关于实施市级预算单位公务卡强制结算目录的通知》（</w:t>
      </w:r>
      <w:proofErr w:type="gramStart"/>
      <w:r>
        <w:rPr>
          <w:rFonts w:ascii="仿宋_GB2312" w:eastAsia="仿宋_GB2312" w:hint="eastAsia"/>
          <w:sz w:val="32"/>
          <w:szCs w:val="32"/>
        </w:rPr>
        <w:t>京财国库</w:t>
      </w:r>
      <w:proofErr w:type="gramEnd"/>
      <w:r>
        <w:rPr>
          <w:rFonts w:ascii="仿宋_GB2312" w:eastAsia="仿宋_GB2312" w:hint="eastAsia"/>
          <w:sz w:val="32"/>
          <w:szCs w:val="32"/>
        </w:rPr>
        <w:t>〔</w:t>
      </w:r>
      <w:r>
        <w:rPr>
          <w:rFonts w:ascii="仿宋_GB2312" w:eastAsia="仿宋_GB2312" w:hint="eastAsia"/>
          <w:sz w:val="32"/>
          <w:szCs w:val="32"/>
        </w:rPr>
        <w:t>2012</w:t>
      </w:r>
      <w:r>
        <w:rPr>
          <w:rFonts w:ascii="仿宋_GB2312" w:eastAsia="仿宋_GB2312" w:hint="eastAsia"/>
          <w:sz w:val="32"/>
          <w:szCs w:val="32"/>
        </w:rPr>
        <w:t>〕</w:t>
      </w:r>
      <w:r>
        <w:rPr>
          <w:rFonts w:ascii="仿宋_GB2312" w:eastAsia="仿宋_GB2312" w:hint="eastAsia"/>
          <w:sz w:val="32"/>
          <w:szCs w:val="32"/>
        </w:rPr>
        <w:t>2949</w:t>
      </w:r>
      <w:r>
        <w:rPr>
          <w:rFonts w:ascii="仿宋_GB2312" w:eastAsia="仿宋_GB2312" w:hint="eastAsia"/>
          <w:sz w:val="32"/>
          <w:szCs w:val="32"/>
        </w:rPr>
        <w:t>号），结合我院实际，制定本办法。</w:t>
      </w:r>
    </w:p>
    <w:p w14:paraId="6EDB1F13"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第二条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本办法所称公务卡，是指单位相关工作人员持有的，主要用于日常公务支出和财务报销业务的信用卡。</w:t>
      </w:r>
    </w:p>
    <w:p w14:paraId="6743FE5B"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第三条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公务卡以持有公务卡的工作人员（以下统称持卡人）个人作为偿债主体。</w:t>
      </w:r>
    </w:p>
    <w:p w14:paraId="3681DCF9"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第四条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实行公务卡结算方式不改变现行财务管理制度、会计核算办法与报销基本流程。原使用银</w:t>
      </w:r>
      <w:r>
        <w:rPr>
          <w:rFonts w:ascii="仿宋_GB2312" w:eastAsia="仿宋_GB2312" w:hint="eastAsia"/>
          <w:sz w:val="32"/>
          <w:szCs w:val="32"/>
        </w:rPr>
        <w:t>行转账方式结算的，可继续使用转账方式。</w:t>
      </w:r>
    </w:p>
    <w:p w14:paraId="2F071639" w14:textId="77777777" w:rsidR="00A11970" w:rsidRDefault="00EF0C91">
      <w:pPr>
        <w:spacing w:line="560" w:lineRule="exact"/>
        <w:jc w:val="center"/>
        <w:rPr>
          <w:rFonts w:ascii="黑体" w:eastAsia="黑体"/>
          <w:sz w:val="32"/>
          <w:szCs w:val="32"/>
        </w:rPr>
      </w:pPr>
      <w:r>
        <w:rPr>
          <w:rFonts w:ascii="黑体" w:eastAsia="黑体" w:hint="eastAsia"/>
          <w:sz w:val="32"/>
          <w:szCs w:val="32"/>
        </w:rPr>
        <w:t>二、公务卡的管理</w:t>
      </w:r>
    </w:p>
    <w:p w14:paraId="3DEC5369"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第五条</w:t>
      </w:r>
      <w:r>
        <w:rPr>
          <w:rFonts w:ascii="仿宋_GB2312" w:eastAsia="仿宋_GB2312" w:hint="eastAsia"/>
          <w:sz w:val="32"/>
          <w:szCs w:val="32"/>
        </w:rPr>
        <w:t xml:space="preserve"> </w:t>
      </w:r>
      <w:r>
        <w:rPr>
          <w:rFonts w:ascii="仿宋_GB2312" w:eastAsia="仿宋_GB2312" w:hint="eastAsia"/>
          <w:sz w:val="32"/>
          <w:szCs w:val="32"/>
        </w:rPr>
        <w:t>我校在职在编工作人员每人可申领一张公务卡。公务卡申领程序为：申请人本人如实填写公务卡申请表，连同本人身份证复印件及其它相关证明文件一并送交财务处；财务处对申请人资料进行确认，送交发卡行；发卡行按规定程序发卡。公务卡申办成功后，持卡人将公务</w:t>
      </w:r>
      <w:proofErr w:type="gramStart"/>
      <w:r>
        <w:rPr>
          <w:rFonts w:ascii="仿宋_GB2312" w:eastAsia="仿宋_GB2312" w:hint="eastAsia"/>
          <w:sz w:val="32"/>
          <w:szCs w:val="32"/>
        </w:rPr>
        <w:t>卡相关</w:t>
      </w:r>
      <w:proofErr w:type="gramEnd"/>
      <w:r>
        <w:rPr>
          <w:rFonts w:ascii="仿宋_GB2312" w:eastAsia="仿宋_GB2312" w:hint="eastAsia"/>
          <w:sz w:val="32"/>
          <w:szCs w:val="32"/>
        </w:rPr>
        <w:t>信息报备给财务处，经财务处确认核实后报备给发卡行，再由发卡行将持卡人姓名和卡号等信息传输到预算管理一体化系统进行关联，关联成功后方可进行正常报销。</w:t>
      </w:r>
    </w:p>
    <w:p w14:paraId="2E48C0A8"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第六条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公务卡实行实名制。持有公务卡的我校工作人员（以</w:t>
      </w:r>
      <w:r>
        <w:rPr>
          <w:rFonts w:ascii="仿宋_GB2312" w:eastAsia="仿宋_GB2312" w:hint="eastAsia"/>
          <w:sz w:val="32"/>
          <w:szCs w:val="32"/>
        </w:rPr>
        <w:t>下统称持卡人）应当妥善保管公务卡，规范使用公务卡办理公务支出的支付结算业务，并及时到财务处办理报销手续。</w:t>
      </w:r>
    </w:p>
    <w:p w14:paraId="3813BAE2"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第七条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公务卡的信用额度，原则上定为每张公务卡透支额度上限为</w:t>
      </w:r>
      <w:r>
        <w:rPr>
          <w:rFonts w:ascii="仿宋_GB2312" w:eastAsia="仿宋_GB2312" w:hint="eastAsia"/>
          <w:sz w:val="32"/>
          <w:szCs w:val="32"/>
        </w:rPr>
        <w:t>5</w:t>
      </w:r>
      <w:r>
        <w:rPr>
          <w:rFonts w:ascii="仿宋_GB2312" w:eastAsia="仿宋_GB2312" w:hint="eastAsia"/>
          <w:sz w:val="32"/>
          <w:szCs w:val="32"/>
        </w:rPr>
        <w:t>万元。</w:t>
      </w:r>
    </w:p>
    <w:p w14:paraId="67F53F60" w14:textId="77777777" w:rsidR="00A11970" w:rsidRDefault="00EF0C91">
      <w:pPr>
        <w:widowControl/>
        <w:spacing w:line="560" w:lineRule="exact"/>
        <w:ind w:firstLineChars="200" w:firstLine="643"/>
        <w:jc w:val="left"/>
        <w:rPr>
          <w:rFonts w:ascii="仿宋_GB2312" w:eastAsia="仿宋_GB2312"/>
          <w:sz w:val="32"/>
          <w:szCs w:val="32"/>
        </w:rPr>
      </w:pPr>
      <w:r>
        <w:rPr>
          <w:rFonts w:ascii="仿宋_GB2312" w:eastAsia="仿宋_GB2312" w:hAnsi="仿宋_GB2312" w:cs="仿宋_GB2312" w:hint="eastAsia"/>
          <w:b/>
          <w:bCs/>
          <w:kern w:val="0"/>
          <w:sz w:val="32"/>
          <w:szCs w:val="32"/>
        </w:rPr>
        <w:t>第八条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发卡行根据持卡人的申请，核实持卡人资信情况后，可对其公务卡信用额度进行调整，并及时通知持卡人。其中，调增信用额度的，须事前由持卡人向财务处提出申请，由财务处出具书面同意意见交发卡行。</w:t>
      </w:r>
    </w:p>
    <w:p w14:paraId="468D2675" w14:textId="77777777" w:rsidR="00A11970" w:rsidRDefault="00EF0C91">
      <w:pPr>
        <w:spacing w:line="560" w:lineRule="exact"/>
        <w:jc w:val="center"/>
        <w:rPr>
          <w:rFonts w:ascii="黑体" w:eastAsia="黑体"/>
          <w:sz w:val="32"/>
          <w:szCs w:val="32"/>
        </w:rPr>
      </w:pPr>
      <w:r>
        <w:rPr>
          <w:rFonts w:ascii="黑体" w:eastAsia="黑体" w:hint="eastAsia"/>
          <w:sz w:val="32"/>
          <w:szCs w:val="32"/>
        </w:rPr>
        <w:t>三、公务卡支付管理</w:t>
      </w:r>
    </w:p>
    <w:p w14:paraId="30093584"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第九条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公务卡结算方式是指我院工作人员在公务活动中使用公务卡刷卡消费，在规定的期限内按财务制度审核后报销还款的结算方式。</w:t>
      </w:r>
    </w:p>
    <w:p w14:paraId="6C56C8B7"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w:t>
      </w:r>
      <w:r>
        <w:rPr>
          <w:rFonts w:ascii="仿宋_GB2312" w:eastAsia="仿宋_GB2312" w:hAnsi="仿宋_GB2312" w:cs="仿宋_GB2312" w:hint="eastAsia"/>
          <w:b/>
          <w:bCs/>
          <w:kern w:val="0"/>
          <w:sz w:val="32"/>
          <w:szCs w:val="32"/>
        </w:rPr>
        <w:t>十条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公务卡支付的主要范围包括差旅费、招待费、培训费、办公费、小型会议费、印刷费、咨询费、手续费、水电费、公务用车运行维护费、维修（护）费、租赁费、物业管理费等。</w:t>
      </w:r>
    </w:p>
    <w:p w14:paraId="585F046C"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第十一条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我院工作人员在公务支出支付结算时，具备刷卡条件的，应在</w:t>
      </w:r>
      <w:proofErr w:type="gramStart"/>
      <w:r>
        <w:rPr>
          <w:rFonts w:ascii="仿宋_GB2312" w:eastAsia="仿宋_GB2312" w:hint="eastAsia"/>
          <w:sz w:val="32"/>
          <w:szCs w:val="32"/>
        </w:rPr>
        <w:t>公务卡授信</w:t>
      </w:r>
      <w:proofErr w:type="gramEnd"/>
      <w:r>
        <w:rPr>
          <w:rFonts w:ascii="仿宋_GB2312" w:eastAsia="仿宋_GB2312" w:hint="eastAsia"/>
          <w:sz w:val="32"/>
          <w:szCs w:val="32"/>
        </w:rPr>
        <w:t>额度内，使用公务卡刷卡支付，并取得发票和支出明细等财务报销凭证。</w:t>
      </w:r>
    </w:p>
    <w:p w14:paraId="50398B75"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第十二条</w:t>
      </w:r>
      <w:r>
        <w:rPr>
          <w:rFonts w:ascii="仿宋_GB2312" w:eastAsia="仿宋_GB2312" w:hint="eastAsia"/>
          <w:sz w:val="32"/>
          <w:szCs w:val="32"/>
        </w:rPr>
        <w:t xml:space="preserve"> </w:t>
      </w:r>
      <w:r>
        <w:rPr>
          <w:rFonts w:ascii="仿宋_GB2312" w:eastAsia="仿宋_GB2312" w:hint="eastAsia"/>
          <w:sz w:val="32"/>
          <w:szCs w:val="32"/>
        </w:rPr>
        <w:t>在不具备刷卡条件的场所发生的单笔消费在</w:t>
      </w:r>
      <w:r>
        <w:rPr>
          <w:rFonts w:ascii="仿宋_GB2312" w:eastAsia="仿宋_GB2312" w:hint="eastAsia"/>
          <w:sz w:val="32"/>
          <w:szCs w:val="32"/>
        </w:rPr>
        <w:t>500</w:t>
      </w:r>
      <w:r>
        <w:rPr>
          <w:rFonts w:ascii="仿宋_GB2312" w:eastAsia="仿宋_GB2312" w:hint="eastAsia"/>
          <w:sz w:val="32"/>
          <w:szCs w:val="32"/>
        </w:rPr>
        <w:t>元以下的公务支出；在北京市行政区域外的县级以下（不包括县级）地区发生的公务支出；按规定支付给非本单位个人的支出；签证费、快递费、出租车费、停车费等目前只能</w:t>
      </w:r>
      <w:r>
        <w:rPr>
          <w:rFonts w:ascii="仿宋_GB2312" w:eastAsia="仿宋_GB2312" w:hint="eastAsia"/>
          <w:sz w:val="32"/>
          <w:szCs w:val="32"/>
        </w:rPr>
        <w:t>使用现金结算的支出，可暂不使用公务卡结算，除上述情况外，因特殊情形确实不能使用公务卡结算的，应报经分管院长批准。</w:t>
      </w:r>
    </w:p>
    <w:p w14:paraId="4AA7FABE"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第十三条</w:t>
      </w:r>
      <w:r>
        <w:rPr>
          <w:rFonts w:ascii="仿宋_GB2312" w:eastAsia="仿宋_GB2312" w:hAnsi="仿宋_GB2312" w:cs="仿宋_GB2312" w:hint="eastAsia"/>
          <w:b/>
          <w:bCs/>
          <w:kern w:val="0"/>
          <w:sz w:val="32"/>
          <w:szCs w:val="32"/>
        </w:rPr>
        <w:t xml:space="preserve"> </w:t>
      </w:r>
      <w:r>
        <w:rPr>
          <w:rFonts w:ascii="仿宋_GB2312" w:eastAsia="仿宋_GB2312" w:hint="eastAsia"/>
          <w:sz w:val="32"/>
          <w:szCs w:val="32"/>
        </w:rPr>
        <w:t>公务卡公务支出不允许提取现金。对公务卡提现行为，视同个人支付行为，财务处将不予报销相关费用。</w:t>
      </w:r>
    </w:p>
    <w:p w14:paraId="294B32CD" w14:textId="77777777" w:rsidR="00A11970" w:rsidRDefault="00EF0C91">
      <w:pPr>
        <w:spacing w:line="560" w:lineRule="exact"/>
        <w:jc w:val="center"/>
        <w:rPr>
          <w:rFonts w:ascii="黑体" w:eastAsia="黑体"/>
          <w:sz w:val="32"/>
          <w:szCs w:val="32"/>
        </w:rPr>
      </w:pPr>
      <w:r>
        <w:rPr>
          <w:rFonts w:ascii="黑体" w:eastAsia="黑体" w:hint="eastAsia"/>
          <w:sz w:val="32"/>
          <w:szCs w:val="32"/>
        </w:rPr>
        <w:t>四、公务卡报销程序</w:t>
      </w:r>
    </w:p>
    <w:p w14:paraId="44E8ABE7"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第十四条</w:t>
      </w:r>
      <w:r>
        <w:rPr>
          <w:rFonts w:ascii="仿宋_GB2312" w:eastAsia="仿宋_GB2312" w:hint="eastAsia"/>
          <w:sz w:val="32"/>
          <w:szCs w:val="32"/>
        </w:rPr>
        <w:t xml:space="preserve"> </w:t>
      </w:r>
      <w:r>
        <w:rPr>
          <w:rFonts w:ascii="仿宋_GB2312" w:eastAsia="仿宋_GB2312" w:hint="eastAsia"/>
          <w:sz w:val="32"/>
          <w:szCs w:val="32"/>
        </w:rPr>
        <w:t>财务处按照财务制度的规定对我院工作人员公务卡刷卡消费凭证进行审核，对符合报销条件的予以报销；对不符合报销条件的，不予报销。对不予报销的部分，由持卡人自行偿还。</w:t>
      </w:r>
    </w:p>
    <w:p w14:paraId="2D17970F"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第十五条</w:t>
      </w:r>
      <w:r>
        <w:rPr>
          <w:rFonts w:ascii="仿宋_GB2312" w:eastAsia="仿宋_GB2312" w:hint="eastAsia"/>
          <w:sz w:val="32"/>
          <w:szCs w:val="32"/>
        </w:rPr>
        <w:t xml:space="preserve"> </w:t>
      </w:r>
      <w:r>
        <w:rPr>
          <w:rFonts w:ascii="仿宋_GB2312" w:eastAsia="仿宋_GB2312" w:hint="eastAsia"/>
          <w:sz w:val="32"/>
          <w:szCs w:val="32"/>
        </w:rPr>
        <w:t>我院工作人员使用公务卡结算的各项公务支出，必须在规定的免息还款期内（即银行记账日至发卡行规定的到期还款日之间），尽早到财务处报销，因个人报销不及时造成的罚息等相关费用，对个人资信影响等责任，由持卡人承担。</w:t>
      </w:r>
    </w:p>
    <w:p w14:paraId="7D0AE1A1"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第十六条</w:t>
      </w:r>
      <w:r>
        <w:rPr>
          <w:rFonts w:ascii="仿宋_GB2312" w:eastAsia="仿宋_GB2312" w:hint="eastAsia"/>
          <w:sz w:val="32"/>
          <w:szCs w:val="32"/>
        </w:rPr>
        <w:t xml:space="preserve"> </w:t>
      </w:r>
      <w:r>
        <w:rPr>
          <w:rFonts w:ascii="仿宋_GB2312" w:eastAsia="仿宋_GB2312" w:hint="eastAsia"/>
          <w:sz w:val="32"/>
          <w:szCs w:val="32"/>
        </w:rPr>
        <w:t>报销人申请办理公务卡结算资金的报销业务时，应当按照财务要求整理好各类报销发票等，财务人员根据各类经费使用规定和开支范围审核报销凭据。</w:t>
      </w:r>
    </w:p>
    <w:p w14:paraId="257ECCC2"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第十七条</w:t>
      </w:r>
      <w:r>
        <w:rPr>
          <w:rFonts w:ascii="仿宋_GB2312" w:eastAsia="仿宋_GB2312" w:hint="eastAsia"/>
          <w:sz w:val="32"/>
          <w:szCs w:val="32"/>
        </w:rPr>
        <w:t xml:space="preserve"> </w:t>
      </w:r>
      <w:r>
        <w:rPr>
          <w:rFonts w:ascii="仿宋_GB2312" w:eastAsia="仿宋_GB2312" w:hint="eastAsia"/>
          <w:sz w:val="32"/>
          <w:szCs w:val="32"/>
        </w:rPr>
        <w:t>各类报销发票和公务卡刷卡信息等经财务人员审核通过后，将报销资金转到公务卡，完成报销。</w:t>
      </w:r>
    </w:p>
    <w:p w14:paraId="0C81FE47"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第十八条</w:t>
      </w:r>
      <w:r>
        <w:rPr>
          <w:rFonts w:ascii="仿宋_GB2312" w:eastAsia="仿宋_GB2312" w:hint="eastAsia"/>
          <w:sz w:val="32"/>
          <w:szCs w:val="32"/>
        </w:rPr>
        <w:t xml:space="preserve"> </w:t>
      </w:r>
      <w:r>
        <w:rPr>
          <w:rFonts w:ascii="仿宋_GB2312" w:eastAsia="仿宋_GB2312" w:hint="eastAsia"/>
          <w:sz w:val="32"/>
          <w:szCs w:val="32"/>
        </w:rPr>
        <w:t>确因工作需要，持卡人不能在规定的免息还款期内返回学校办理报销手续的，可由持卡人或其所在单位相关人员向财务处提供持卡人姓名、卡号、消费时间和每笔消费金额的明细书面信息，并填写《借款单》，按授权审批权限，经负责人审批后，财务处先将报销资金转入公务卡，持卡人回学校后及时办理报销手续。</w:t>
      </w:r>
    </w:p>
    <w:p w14:paraId="7204AE6D"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第十九条</w:t>
      </w:r>
      <w:r>
        <w:rPr>
          <w:rFonts w:ascii="仿宋_GB2312" w:eastAsia="仿宋_GB2312" w:hint="eastAsia"/>
          <w:sz w:val="32"/>
          <w:szCs w:val="32"/>
        </w:rPr>
        <w:t xml:space="preserve"> </w:t>
      </w:r>
      <w:r>
        <w:rPr>
          <w:rFonts w:ascii="仿宋_GB2312" w:eastAsia="仿宋_GB2312" w:hint="eastAsia"/>
          <w:sz w:val="32"/>
          <w:szCs w:val="32"/>
        </w:rPr>
        <w:t>因向供应商退货等原因导致已报销资金退回公务卡的，持卡人应及时向财务处提出，办理审核手续，将资金通过转账方式退回账户。</w:t>
      </w:r>
    </w:p>
    <w:p w14:paraId="38A47420" w14:textId="77777777" w:rsidR="00A11970" w:rsidRDefault="00EF0C91">
      <w:pPr>
        <w:spacing w:line="560" w:lineRule="exact"/>
        <w:jc w:val="center"/>
        <w:rPr>
          <w:rFonts w:ascii="仿宋_GB2312" w:eastAsia="仿宋_GB2312"/>
          <w:sz w:val="32"/>
          <w:szCs w:val="32"/>
        </w:rPr>
      </w:pPr>
      <w:r>
        <w:rPr>
          <w:rFonts w:ascii="黑体" w:eastAsia="黑体" w:hint="eastAsia"/>
          <w:sz w:val="32"/>
          <w:szCs w:val="32"/>
        </w:rPr>
        <w:t>五、管</w:t>
      </w:r>
      <w:r>
        <w:rPr>
          <w:rFonts w:ascii="黑体" w:eastAsia="黑体" w:hint="eastAsia"/>
          <w:sz w:val="32"/>
          <w:szCs w:val="32"/>
        </w:rPr>
        <w:t>理职责</w:t>
      </w:r>
    </w:p>
    <w:p w14:paraId="1807B217"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第二十条</w:t>
      </w:r>
      <w:r>
        <w:rPr>
          <w:rFonts w:ascii="仿宋_GB2312" w:eastAsia="仿宋_GB2312" w:hint="eastAsia"/>
          <w:sz w:val="32"/>
          <w:szCs w:val="32"/>
        </w:rPr>
        <w:t xml:space="preserve"> </w:t>
      </w:r>
      <w:r>
        <w:rPr>
          <w:rFonts w:ascii="仿宋_GB2312" w:eastAsia="仿宋_GB2312" w:hint="eastAsia"/>
          <w:sz w:val="32"/>
          <w:szCs w:val="32"/>
        </w:rPr>
        <w:t>财务处要在全院范围内积极推行公务卡结算方式，加强对持卡人宣传、培训；要做好公务卡的日常管理、报销与清算管理和资金管理，</w:t>
      </w:r>
      <w:proofErr w:type="gramStart"/>
      <w:r>
        <w:rPr>
          <w:rFonts w:ascii="仿宋_GB2312" w:eastAsia="仿宋_GB2312" w:hint="eastAsia"/>
          <w:sz w:val="32"/>
          <w:szCs w:val="32"/>
        </w:rPr>
        <w:t>遇人员</w:t>
      </w:r>
      <w:proofErr w:type="gramEnd"/>
      <w:r>
        <w:rPr>
          <w:rFonts w:ascii="仿宋_GB2312" w:eastAsia="仿宋_GB2312" w:hint="eastAsia"/>
          <w:sz w:val="32"/>
          <w:szCs w:val="32"/>
        </w:rPr>
        <w:t>变动时应及时通知发卡行。严禁为非我院在职在编工作人员办理公务卡。</w:t>
      </w:r>
    </w:p>
    <w:p w14:paraId="7A47D440"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第二十一条</w:t>
      </w:r>
      <w:r>
        <w:rPr>
          <w:rFonts w:ascii="仿宋_GB2312" w:eastAsia="仿宋_GB2312" w:hint="eastAsia"/>
          <w:sz w:val="32"/>
          <w:szCs w:val="32"/>
        </w:rPr>
        <w:t xml:space="preserve"> </w:t>
      </w:r>
      <w:r>
        <w:rPr>
          <w:rFonts w:ascii="仿宋_GB2312" w:eastAsia="仿宋_GB2312" w:hint="eastAsia"/>
          <w:sz w:val="32"/>
          <w:szCs w:val="32"/>
        </w:rPr>
        <w:t>持卡人要按规定申请办理公务卡，妥善保管卡片和密码，并承担因个人保管不善等原因引起的公务卡有关费用；执行公务的支出，原则上应使用公务卡结算和报销，并接受上级财政部门和财务处对公务支出的监控管理；及时归还</w:t>
      </w:r>
      <w:proofErr w:type="gramStart"/>
      <w:r>
        <w:rPr>
          <w:rFonts w:ascii="仿宋_GB2312" w:eastAsia="仿宋_GB2312" w:hint="eastAsia"/>
          <w:sz w:val="32"/>
          <w:szCs w:val="32"/>
        </w:rPr>
        <w:t>公务卡项下</w:t>
      </w:r>
      <w:proofErr w:type="gramEnd"/>
      <w:r>
        <w:rPr>
          <w:rFonts w:ascii="仿宋_GB2312" w:eastAsia="仿宋_GB2312" w:hint="eastAsia"/>
          <w:sz w:val="32"/>
          <w:szCs w:val="32"/>
        </w:rPr>
        <w:t>银行欠款。</w:t>
      </w:r>
    </w:p>
    <w:p w14:paraId="30A6886C"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第二十二条</w:t>
      </w:r>
      <w:r>
        <w:rPr>
          <w:rFonts w:ascii="仿宋_GB2312" w:eastAsia="仿宋_GB2312" w:hint="eastAsia"/>
          <w:sz w:val="32"/>
          <w:szCs w:val="32"/>
        </w:rPr>
        <w:t xml:space="preserve"> </w:t>
      </w:r>
      <w:r>
        <w:rPr>
          <w:rFonts w:ascii="仿宋_GB2312" w:eastAsia="仿宋_GB2312" w:hint="eastAsia"/>
          <w:sz w:val="32"/>
          <w:szCs w:val="32"/>
        </w:rPr>
        <w:t>持卡人应遵守国家关于银行卡使用管理的法律法规和本办法有关规</w:t>
      </w:r>
      <w:r>
        <w:rPr>
          <w:rFonts w:ascii="仿宋_GB2312" w:eastAsia="仿宋_GB2312" w:hint="eastAsia"/>
          <w:sz w:val="32"/>
          <w:szCs w:val="32"/>
        </w:rPr>
        <w:t>定，规范使用公务卡。严禁持卡人违规使用公务卡、恶意透支、拖欠还款、利用公务卡套取现金或将非公务支出用于公务报销。</w:t>
      </w:r>
    </w:p>
    <w:p w14:paraId="7FCC63BC"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第二十三条</w:t>
      </w:r>
      <w:r>
        <w:rPr>
          <w:rFonts w:ascii="仿宋_GB2312" w:eastAsia="仿宋_GB2312" w:hint="eastAsia"/>
          <w:sz w:val="32"/>
          <w:szCs w:val="32"/>
        </w:rPr>
        <w:t xml:space="preserve"> </w:t>
      </w:r>
      <w:r>
        <w:rPr>
          <w:rFonts w:ascii="仿宋_GB2312" w:eastAsia="仿宋_GB2312" w:hint="eastAsia"/>
          <w:sz w:val="32"/>
          <w:szCs w:val="32"/>
        </w:rPr>
        <w:t>公务卡用于个人支付结算业务，学院不承担私人消费行为引致的一切责任。</w:t>
      </w:r>
    </w:p>
    <w:p w14:paraId="5F1B0E98" w14:textId="77777777" w:rsidR="00A11970" w:rsidRDefault="00EF0C91">
      <w:pPr>
        <w:spacing w:line="560" w:lineRule="exact"/>
        <w:jc w:val="center"/>
        <w:rPr>
          <w:rFonts w:ascii="黑体" w:eastAsia="黑体"/>
          <w:sz w:val="32"/>
          <w:szCs w:val="32"/>
        </w:rPr>
      </w:pPr>
      <w:r>
        <w:rPr>
          <w:rFonts w:ascii="黑体" w:eastAsia="黑体" w:hint="eastAsia"/>
          <w:sz w:val="32"/>
          <w:szCs w:val="32"/>
        </w:rPr>
        <w:t>六、附则</w:t>
      </w:r>
    </w:p>
    <w:p w14:paraId="2C0BBB41"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第二十四条</w:t>
      </w:r>
      <w:r>
        <w:rPr>
          <w:rFonts w:ascii="仿宋_GB2312" w:eastAsia="仿宋_GB2312" w:hint="eastAsia"/>
          <w:sz w:val="32"/>
          <w:szCs w:val="32"/>
        </w:rPr>
        <w:t xml:space="preserve"> </w:t>
      </w:r>
      <w:r>
        <w:rPr>
          <w:rFonts w:ascii="仿宋_GB2312" w:eastAsia="仿宋_GB2312" w:hint="eastAsia"/>
          <w:sz w:val="32"/>
          <w:szCs w:val="32"/>
        </w:rPr>
        <w:t>本办法由学院财务处负责解释。</w:t>
      </w:r>
    </w:p>
    <w:p w14:paraId="591B84E1" w14:textId="77777777" w:rsidR="00A11970" w:rsidRDefault="00EF0C91">
      <w:pPr>
        <w:spacing w:line="560" w:lineRule="exact"/>
        <w:ind w:firstLineChars="200" w:firstLine="643"/>
        <w:rPr>
          <w:rFonts w:ascii="仿宋_GB2312" w:eastAsia="仿宋_GB2312"/>
          <w:sz w:val="32"/>
          <w:szCs w:val="32"/>
        </w:rPr>
      </w:pPr>
      <w:r>
        <w:rPr>
          <w:rFonts w:ascii="仿宋_GB2312" w:eastAsia="仿宋_GB2312" w:hAnsi="仿宋_GB2312" w:cs="仿宋_GB2312" w:hint="eastAsia"/>
          <w:b/>
          <w:bCs/>
          <w:kern w:val="0"/>
          <w:sz w:val="32"/>
          <w:szCs w:val="32"/>
        </w:rPr>
        <w:t>第二十五条</w:t>
      </w:r>
      <w:r>
        <w:rPr>
          <w:rFonts w:ascii="仿宋_GB2312" w:eastAsia="仿宋_GB2312" w:hint="eastAsia"/>
          <w:sz w:val="32"/>
          <w:szCs w:val="32"/>
        </w:rPr>
        <w:t xml:space="preserve"> </w:t>
      </w:r>
      <w:r>
        <w:rPr>
          <w:rFonts w:ascii="仿宋_GB2312" w:eastAsia="仿宋_GB2312" w:hint="eastAsia"/>
          <w:sz w:val="32"/>
          <w:szCs w:val="32"/>
        </w:rPr>
        <w:t>本办法自印发之日起执行。</w:t>
      </w:r>
    </w:p>
    <w:p w14:paraId="0FC58488" w14:textId="77777777" w:rsidR="00A11970" w:rsidRDefault="00A11970">
      <w:pPr>
        <w:spacing w:line="560" w:lineRule="exact"/>
        <w:ind w:firstLineChars="200" w:firstLine="640"/>
        <w:rPr>
          <w:rFonts w:ascii="仿宋_GB2312" w:eastAsia="仿宋_GB2312"/>
          <w:sz w:val="32"/>
          <w:szCs w:val="32"/>
        </w:rPr>
      </w:pPr>
    </w:p>
    <w:p w14:paraId="277A1240" w14:textId="77777777" w:rsidR="00A11970" w:rsidRDefault="00EF0C91">
      <w:pPr>
        <w:spacing w:line="560" w:lineRule="exact"/>
        <w:ind w:firstLineChars="200" w:firstLine="640"/>
        <w:rPr>
          <w:rFonts w:ascii="仿宋_GB2312" w:eastAsia="仿宋_GB2312"/>
          <w:sz w:val="32"/>
          <w:szCs w:val="32"/>
        </w:rPr>
      </w:pPr>
      <w:r>
        <w:rPr>
          <w:rFonts w:ascii="仿宋_GB2312" w:eastAsia="仿宋_GB2312" w:hint="eastAsia"/>
          <w:sz w:val="32"/>
          <w:szCs w:val="32"/>
        </w:rPr>
        <w:t>附件：北京青年政治学院公务卡强制结算目录</w:t>
      </w:r>
    </w:p>
    <w:p w14:paraId="111AE79C" w14:textId="77777777" w:rsidR="00A11970" w:rsidRDefault="00A11970">
      <w:pPr>
        <w:pStyle w:val="2"/>
        <w:rPr>
          <w:rFonts w:ascii="仿宋_GB2312" w:eastAsia="仿宋_GB2312"/>
          <w:sz w:val="32"/>
          <w:szCs w:val="32"/>
        </w:rPr>
      </w:pPr>
    </w:p>
    <w:p w14:paraId="503414A7" w14:textId="77777777" w:rsidR="00A11970" w:rsidRDefault="00A11970"/>
    <w:tbl>
      <w:tblPr>
        <w:tblpPr w:leftFromText="180" w:rightFromText="180" w:vertAnchor="page" w:horzAnchor="margin" w:tblpY="14101"/>
        <w:tblW w:w="8928" w:type="dxa"/>
        <w:tblBorders>
          <w:top w:val="single" w:sz="4" w:space="0" w:color="auto"/>
          <w:bottom w:val="single" w:sz="4" w:space="0" w:color="auto"/>
        </w:tblBorders>
        <w:tblLook w:val="04A0" w:firstRow="1" w:lastRow="0" w:firstColumn="1" w:lastColumn="0" w:noHBand="0" w:noVBand="1"/>
      </w:tblPr>
      <w:tblGrid>
        <w:gridCol w:w="8928"/>
      </w:tblGrid>
      <w:tr w:rsidR="00A11970" w14:paraId="6E51A654" w14:textId="77777777">
        <w:tc>
          <w:tcPr>
            <w:tcW w:w="8928" w:type="dxa"/>
          </w:tcPr>
          <w:p w14:paraId="7909215B" w14:textId="77777777" w:rsidR="00A11970" w:rsidRDefault="00EF0C91">
            <w:pPr>
              <w:ind w:firstLineChars="50" w:firstLine="140"/>
              <w:rPr>
                <w:color w:val="FF0000"/>
                <w:kern w:val="0"/>
                <w:sz w:val="28"/>
                <w:szCs w:val="28"/>
              </w:rPr>
            </w:pPr>
            <w:r>
              <w:rPr>
                <w:rFonts w:ascii="仿宋_GB2312" w:eastAsia="仿宋_GB2312" w:hint="eastAsia"/>
                <w:color w:val="000000" w:themeColor="text1"/>
                <w:sz w:val="28"/>
                <w:szCs w:val="28"/>
              </w:rPr>
              <w:t>党政办公室</w:t>
            </w:r>
            <w:r>
              <w:rPr>
                <w:rFonts w:ascii="仿宋_GB2312" w:eastAsia="仿宋_GB2312" w:hint="eastAsia"/>
                <w:color w:val="000000" w:themeColor="text1"/>
                <w:sz w:val="28"/>
                <w:szCs w:val="28"/>
              </w:rPr>
              <w:t xml:space="preserve">                              202</w:t>
            </w:r>
            <w:r>
              <w:rPr>
                <w:rFonts w:ascii="仿宋_GB2312" w:eastAsia="仿宋_GB2312"/>
                <w:color w:val="000000" w:themeColor="text1"/>
                <w:sz w:val="28"/>
                <w:szCs w:val="28"/>
              </w:rPr>
              <w:t>3</w:t>
            </w:r>
            <w:r>
              <w:rPr>
                <w:rFonts w:ascii="仿宋_GB2312" w:eastAsia="仿宋_GB2312" w:hint="eastAsia"/>
                <w:color w:val="000000" w:themeColor="text1"/>
                <w:sz w:val="28"/>
                <w:szCs w:val="28"/>
              </w:rPr>
              <w:t>年</w:t>
            </w:r>
            <w:r>
              <w:rPr>
                <w:rFonts w:ascii="仿宋_GB2312" w:eastAsia="仿宋_GB2312"/>
                <w:color w:val="000000" w:themeColor="text1"/>
                <w:sz w:val="28"/>
                <w:szCs w:val="28"/>
              </w:rPr>
              <w:t>10</w:t>
            </w:r>
            <w:r>
              <w:rPr>
                <w:rFonts w:ascii="仿宋_GB2312" w:eastAsia="仿宋_GB2312" w:hint="eastAsia"/>
                <w:color w:val="000000" w:themeColor="text1"/>
                <w:sz w:val="28"/>
                <w:szCs w:val="28"/>
              </w:rPr>
              <w:t>月</w:t>
            </w:r>
            <w:r>
              <w:rPr>
                <w:rFonts w:ascii="仿宋_GB2312" w:eastAsia="仿宋_GB2312"/>
                <w:color w:val="000000" w:themeColor="text1"/>
                <w:sz w:val="28"/>
                <w:szCs w:val="28"/>
              </w:rPr>
              <w:t>10</w:t>
            </w:r>
            <w:r>
              <w:rPr>
                <w:rFonts w:ascii="仿宋_GB2312" w:eastAsia="仿宋_GB2312" w:hint="eastAsia"/>
                <w:color w:val="000000" w:themeColor="text1"/>
                <w:sz w:val="28"/>
                <w:szCs w:val="28"/>
              </w:rPr>
              <w:t>日印发</w:t>
            </w:r>
          </w:p>
        </w:tc>
      </w:tr>
    </w:tbl>
    <w:p w14:paraId="4D66D189" w14:textId="77777777" w:rsidR="00A11970" w:rsidRDefault="00A11970">
      <w:pPr>
        <w:pStyle w:val="2"/>
      </w:pPr>
    </w:p>
    <w:p w14:paraId="7C8159B2" w14:textId="77777777" w:rsidR="00A11970" w:rsidRDefault="00A11970"/>
    <w:p w14:paraId="095AF535" w14:textId="77777777" w:rsidR="00A11970" w:rsidRDefault="00A11970"/>
    <w:tbl>
      <w:tblPr>
        <w:tblW w:w="9617" w:type="dxa"/>
        <w:tblInd w:w="-85" w:type="dxa"/>
        <w:tblLook w:val="04A0" w:firstRow="1" w:lastRow="0" w:firstColumn="1" w:lastColumn="0" w:noHBand="0" w:noVBand="1"/>
      </w:tblPr>
      <w:tblGrid>
        <w:gridCol w:w="771"/>
        <w:gridCol w:w="1457"/>
        <w:gridCol w:w="7389"/>
      </w:tblGrid>
      <w:tr w:rsidR="00A11970" w14:paraId="028BA574" w14:textId="77777777">
        <w:trPr>
          <w:trHeight w:val="465"/>
        </w:trPr>
        <w:tc>
          <w:tcPr>
            <w:tcW w:w="9617" w:type="dxa"/>
            <w:gridSpan w:val="3"/>
            <w:tcBorders>
              <w:top w:val="nil"/>
              <w:left w:val="nil"/>
              <w:bottom w:val="nil"/>
              <w:right w:val="nil"/>
            </w:tcBorders>
            <w:shd w:val="clear" w:color="auto" w:fill="auto"/>
            <w:noWrap/>
            <w:vAlign w:val="center"/>
          </w:tcPr>
          <w:p w14:paraId="017DA955" w14:textId="77777777" w:rsidR="00A11970" w:rsidRDefault="00A11970">
            <w:pPr>
              <w:widowControl/>
              <w:jc w:val="center"/>
              <w:rPr>
                <w:rFonts w:ascii="黑体" w:eastAsia="黑体" w:hAnsi="宋体" w:cs="宋体"/>
                <w:kern w:val="0"/>
                <w:sz w:val="44"/>
                <w:szCs w:val="44"/>
              </w:rPr>
            </w:pPr>
          </w:p>
          <w:p w14:paraId="4CD5C266" w14:textId="77777777" w:rsidR="00A11970" w:rsidRDefault="00EF0C91">
            <w:pPr>
              <w:widowControl/>
              <w:jc w:val="left"/>
              <w:rPr>
                <w:rFonts w:ascii="黑体" w:eastAsia="黑体" w:hAnsi="黑体" w:cs="宋体"/>
                <w:kern w:val="0"/>
                <w:sz w:val="32"/>
                <w:szCs w:val="32"/>
              </w:rPr>
            </w:pPr>
            <w:r>
              <w:rPr>
                <w:rFonts w:ascii="黑体" w:eastAsia="黑体" w:hAnsi="黑体" w:cs="宋体" w:hint="eastAsia"/>
                <w:kern w:val="0"/>
                <w:sz w:val="32"/>
                <w:szCs w:val="32"/>
              </w:rPr>
              <w:t>附件</w:t>
            </w:r>
          </w:p>
          <w:p w14:paraId="3F8F9674" w14:textId="77777777" w:rsidR="00A11970" w:rsidRDefault="00EF0C91">
            <w:pPr>
              <w:widowControl/>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北京青年政治学院公务卡强制结算目录</w:t>
            </w:r>
          </w:p>
        </w:tc>
      </w:tr>
      <w:tr w:rsidR="00A11970" w14:paraId="1C6716CF" w14:textId="77777777">
        <w:trPr>
          <w:trHeight w:val="624"/>
        </w:trPr>
        <w:tc>
          <w:tcPr>
            <w:tcW w:w="77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257074A"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序号</w:t>
            </w:r>
          </w:p>
        </w:tc>
        <w:tc>
          <w:tcPr>
            <w:tcW w:w="145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FBF8BE9"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公务卡结算项目</w:t>
            </w:r>
          </w:p>
        </w:tc>
        <w:tc>
          <w:tcPr>
            <w:tcW w:w="738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26734F3"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备注</w:t>
            </w:r>
          </w:p>
        </w:tc>
      </w:tr>
      <w:tr w:rsidR="00A11970" w14:paraId="394DCAF4" w14:textId="77777777">
        <w:trPr>
          <w:trHeight w:val="312"/>
        </w:trPr>
        <w:tc>
          <w:tcPr>
            <w:tcW w:w="771" w:type="dxa"/>
            <w:vMerge/>
            <w:tcBorders>
              <w:top w:val="single" w:sz="4" w:space="0" w:color="auto"/>
              <w:left w:val="single" w:sz="4" w:space="0" w:color="auto"/>
              <w:bottom w:val="single" w:sz="4" w:space="0" w:color="000000"/>
              <w:right w:val="single" w:sz="4" w:space="0" w:color="auto"/>
            </w:tcBorders>
            <w:vAlign w:val="center"/>
          </w:tcPr>
          <w:p w14:paraId="39E2D672" w14:textId="77777777" w:rsidR="00A11970" w:rsidRDefault="00A11970">
            <w:pPr>
              <w:widowControl/>
              <w:jc w:val="left"/>
              <w:rPr>
                <w:rFonts w:ascii="仿宋_GB2312" w:eastAsia="仿宋_GB2312" w:hAnsi="仿宋_GB2312" w:cs="仿宋_GB2312"/>
                <w:kern w:val="0"/>
                <w:sz w:val="24"/>
              </w:rPr>
            </w:pPr>
          </w:p>
        </w:tc>
        <w:tc>
          <w:tcPr>
            <w:tcW w:w="1457" w:type="dxa"/>
            <w:vMerge/>
            <w:tcBorders>
              <w:top w:val="single" w:sz="4" w:space="0" w:color="auto"/>
              <w:left w:val="single" w:sz="4" w:space="0" w:color="auto"/>
              <w:bottom w:val="single" w:sz="4" w:space="0" w:color="000000"/>
              <w:right w:val="single" w:sz="4" w:space="0" w:color="auto"/>
            </w:tcBorders>
            <w:vAlign w:val="center"/>
          </w:tcPr>
          <w:p w14:paraId="4E49A5AF" w14:textId="77777777" w:rsidR="00A11970" w:rsidRDefault="00A11970">
            <w:pPr>
              <w:widowControl/>
              <w:jc w:val="left"/>
              <w:rPr>
                <w:rFonts w:ascii="仿宋_GB2312" w:eastAsia="仿宋_GB2312" w:hAnsi="仿宋_GB2312" w:cs="仿宋_GB2312"/>
                <w:kern w:val="0"/>
                <w:sz w:val="24"/>
              </w:rPr>
            </w:pPr>
          </w:p>
        </w:tc>
        <w:tc>
          <w:tcPr>
            <w:tcW w:w="7389" w:type="dxa"/>
            <w:vMerge/>
            <w:tcBorders>
              <w:top w:val="single" w:sz="4" w:space="0" w:color="auto"/>
              <w:left w:val="single" w:sz="4" w:space="0" w:color="auto"/>
              <w:bottom w:val="single" w:sz="4" w:space="0" w:color="000000"/>
              <w:right w:val="single" w:sz="4" w:space="0" w:color="auto"/>
            </w:tcBorders>
            <w:vAlign w:val="center"/>
          </w:tcPr>
          <w:p w14:paraId="7A661558" w14:textId="77777777" w:rsidR="00A11970" w:rsidRDefault="00A11970">
            <w:pPr>
              <w:widowControl/>
              <w:jc w:val="left"/>
              <w:rPr>
                <w:rFonts w:ascii="仿宋_GB2312" w:eastAsia="仿宋_GB2312" w:hAnsi="仿宋_GB2312" w:cs="仿宋_GB2312"/>
                <w:kern w:val="0"/>
                <w:sz w:val="24"/>
              </w:rPr>
            </w:pPr>
          </w:p>
        </w:tc>
      </w:tr>
      <w:tr w:rsidR="00A11970" w14:paraId="6D64B3CF" w14:textId="77777777">
        <w:trPr>
          <w:trHeight w:val="645"/>
        </w:trPr>
        <w:tc>
          <w:tcPr>
            <w:tcW w:w="771" w:type="dxa"/>
            <w:tcBorders>
              <w:top w:val="nil"/>
              <w:left w:val="single" w:sz="4" w:space="0" w:color="auto"/>
              <w:bottom w:val="single" w:sz="4" w:space="0" w:color="auto"/>
              <w:right w:val="single" w:sz="4" w:space="0" w:color="auto"/>
            </w:tcBorders>
            <w:shd w:val="clear" w:color="auto" w:fill="auto"/>
            <w:vAlign w:val="center"/>
          </w:tcPr>
          <w:p w14:paraId="786FC163"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w:t>
            </w:r>
          </w:p>
        </w:tc>
        <w:tc>
          <w:tcPr>
            <w:tcW w:w="1457" w:type="dxa"/>
            <w:tcBorders>
              <w:top w:val="nil"/>
              <w:left w:val="nil"/>
              <w:bottom w:val="single" w:sz="4" w:space="0" w:color="auto"/>
              <w:right w:val="single" w:sz="4" w:space="0" w:color="auto"/>
            </w:tcBorders>
            <w:shd w:val="clear" w:color="auto" w:fill="auto"/>
            <w:vAlign w:val="center"/>
          </w:tcPr>
          <w:p w14:paraId="725AEF7E"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办公费</w:t>
            </w:r>
          </w:p>
        </w:tc>
        <w:tc>
          <w:tcPr>
            <w:tcW w:w="7389" w:type="dxa"/>
            <w:tcBorders>
              <w:top w:val="nil"/>
              <w:left w:val="nil"/>
              <w:bottom w:val="single" w:sz="4" w:space="0" w:color="auto"/>
              <w:right w:val="single" w:sz="4" w:space="0" w:color="auto"/>
            </w:tcBorders>
            <w:shd w:val="clear" w:color="auto" w:fill="auto"/>
            <w:vAlign w:val="center"/>
          </w:tcPr>
          <w:p w14:paraId="25A2B0C8"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指单位购买按财务会计制度规定不符合固定资产确认标准的日常办公用品、书报杂志等支出。</w:t>
            </w:r>
          </w:p>
        </w:tc>
      </w:tr>
      <w:tr w:rsidR="00A11970" w14:paraId="3AA020D7" w14:textId="77777777">
        <w:trPr>
          <w:trHeight w:val="450"/>
        </w:trPr>
        <w:tc>
          <w:tcPr>
            <w:tcW w:w="771" w:type="dxa"/>
            <w:tcBorders>
              <w:top w:val="nil"/>
              <w:left w:val="single" w:sz="4" w:space="0" w:color="auto"/>
              <w:bottom w:val="single" w:sz="4" w:space="0" w:color="auto"/>
              <w:right w:val="single" w:sz="4" w:space="0" w:color="auto"/>
            </w:tcBorders>
            <w:shd w:val="clear" w:color="auto" w:fill="auto"/>
            <w:vAlign w:val="center"/>
          </w:tcPr>
          <w:p w14:paraId="4B52ED28"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1457" w:type="dxa"/>
            <w:tcBorders>
              <w:top w:val="nil"/>
              <w:left w:val="nil"/>
              <w:bottom w:val="single" w:sz="4" w:space="0" w:color="auto"/>
              <w:right w:val="single" w:sz="4" w:space="0" w:color="auto"/>
            </w:tcBorders>
            <w:shd w:val="clear" w:color="auto" w:fill="auto"/>
            <w:vAlign w:val="center"/>
          </w:tcPr>
          <w:p w14:paraId="4760F32B"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印刷费</w:t>
            </w:r>
          </w:p>
        </w:tc>
        <w:tc>
          <w:tcPr>
            <w:tcW w:w="7389" w:type="dxa"/>
            <w:tcBorders>
              <w:top w:val="nil"/>
              <w:left w:val="nil"/>
              <w:bottom w:val="single" w:sz="4" w:space="0" w:color="auto"/>
              <w:right w:val="single" w:sz="4" w:space="0" w:color="auto"/>
            </w:tcBorders>
            <w:shd w:val="clear" w:color="auto" w:fill="auto"/>
            <w:vAlign w:val="center"/>
          </w:tcPr>
          <w:p w14:paraId="6D5D9814"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指单位的印刷费支出。</w:t>
            </w:r>
          </w:p>
        </w:tc>
      </w:tr>
      <w:tr w:rsidR="00A11970" w14:paraId="10011E70" w14:textId="77777777">
        <w:trPr>
          <w:trHeight w:val="499"/>
        </w:trPr>
        <w:tc>
          <w:tcPr>
            <w:tcW w:w="771" w:type="dxa"/>
            <w:tcBorders>
              <w:top w:val="nil"/>
              <w:left w:val="single" w:sz="4" w:space="0" w:color="auto"/>
              <w:bottom w:val="single" w:sz="4" w:space="0" w:color="auto"/>
              <w:right w:val="single" w:sz="4" w:space="0" w:color="auto"/>
            </w:tcBorders>
            <w:shd w:val="clear" w:color="auto" w:fill="auto"/>
            <w:vAlign w:val="center"/>
          </w:tcPr>
          <w:p w14:paraId="2C18AF66"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1457" w:type="dxa"/>
            <w:tcBorders>
              <w:top w:val="nil"/>
              <w:left w:val="nil"/>
              <w:bottom w:val="single" w:sz="4" w:space="0" w:color="auto"/>
              <w:right w:val="single" w:sz="4" w:space="0" w:color="auto"/>
            </w:tcBorders>
            <w:shd w:val="clear" w:color="auto" w:fill="auto"/>
            <w:vAlign w:val="center"/>
          </w:tcPr>
          <w:p w14:paraId="4A0DA6FC"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咨询费</w:t>
            </w:r>
          </w:p>
        </w:tc>
        <w:tc>
          <w:tcPr>
            <w:tcW w:w="7389" w:type="dxa"/>
            <w:tcBorders>
              <w:top w:val="nil"/>
              <w:left w:val="nil"/>
              <w:bottom w:val="single" w:sz="4" w:space="0" w:color="auto"/>
              <w:right w:val="single" w:sz="4" w:space="0" w:color="auto"/>
            </w:tcBorders>
            <w:shd w:val="clear" w:color="auto" w:fill="auto"/>
            <w:vAlign w:val="center"/>
          </w:tcPr>
          <w:p w14:paraId="08CBDD9A"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指单位咨询方面的支出。</w:t>
            </w:r>
          </w:p>
        </w:tc>
      </w:tr>
      <w:tr w:rsidR="00A11970" w14:paraId="59CB7CDF" w14:textId="77777777">
        <w:trPr>
          <w:trHeight w:val="499"/>
        </w:trPr>
        <w:tc>
          <w:tcPr>
            <w:tcW w:w="771" w:type="dxa"/>
            <w:tcBorders>
              <w:top w:val="nil"/>
              <w:left w:val="single" w:sz="4" w:space="0" w:color="auto"/>
              <w:bottom w:val="single" w:sz="4" w:space="0" w:color="auto"/>
              <w:right w:val="single" w:sz="4" w:space="0" w:color="auto"/>
            </w:tcBorders>
            <w:shd w:val="clear" w:color="auto" w:fill="auto"/>
            <w:vAlign w:val="center"/>
          </w:tcPr>
          <w:p w14:paraId="15F958BA"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1457" w:type="dxa"/>
            <w:tcBorders>
              <w:top w:val="nil"/>
              <w:left w:val="nil"/>
              <w:bottom w:val="single" w:sz="4" w:space="0" w:color="auto"/>
              <w:right w:val="single" w:sz="4" w:space="0" w:color="auto"/>
            </w:tcBorders>
            <w:shd w:val="clear" w:color="auto" w:fill="auto"/>
            <w:vAlign w:val="center"/>
          </w:tcPr>
          <w:p w14:paraId="19CD873A"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手续费</w:t>
            </w:r>
          </w:p>
        </w:tc>
        <w:tc>
          <w:tcPr>
            <w:tcW w:w="7389" w:type="dxa"/>
            <w:tcBorders>
              <w:top w:val="nil"/>
              <w:left w:val="nil"/>
              <w:bottom w:val="single" w:sz="4" w:space="0" w:color="auto"/>
              <w:right w:val="single" w:sz="4" w:space="0" w:color="auto"/>
            </w:tcBorders>
            <w:shd w:val="clear" w:color="auto" w:fill="auto"/>
            <w:vAlign w:val="center"/>
          </w:tcPr>
          <w:p w14:paraId="7CC983A0"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指单位支付的手续费支出。</w:t>
            </w:r>
          </w:p>
        </w:tc>
      </w:tr>
      <w:tr w:rsidR="00A11970" w14:paraId="009774B1" w14:textId="77777777">
        <w:trPr>
          <w:trHeight w:val="499"/>
        </w:trPr>
        <w:tc>
          <w:tcPr>
            <w:tcW w:w="771" w:type="dxa"/>
            <w:tcBorders>
              <w:top w:val="nil"/>
              <w:left w:val="single" w:sz="4" w:space="0" w:color="auto"/>
              <w:bottom w:val="single" w:sz="4" w:space="0" w:color="auto"/>
              <w:right w:val="single" w:sz="4" w:space="0" w:color="auto"/>
            </w:tcBorders>
            <w:shd w:val="clear" w:color="auto" w:fill="auto"/>
            <w:vAlign w:val="center"/>
          </w:tcPr>
          <w:p w14:paraId="6E8258A4"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5</w:t>
            </w:r>
          </w:p>
        </w:tc>
        <w:tc>
          <w:tcPr>
            <w:tcW w:w="1457" w:type="dxa"/>
            <w:tcBorders>
              <w:top w:val="nil"/>
              <w:left w:val="nil"/>
              <w:bottom w:val="single" w:sz="4" w:space="0" w:color="auto"/>
              <w:right w:val="single" w:sz="4" w:space="0" w:color="auto"/>
            </w:tcBorders>
            <w:shd w:val="clear" w:color="auto" w:fill="auto"/>
            <w:vAlign w:val="center"/>
          </w:tcPr>
          <w:p w14:paraId="198F7F6C"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水费</w:t>
            </w:r>
          </w:p>
        </w:tc>
        <w:tc>
          <w:tcPr>
            <w:tcW w:w="7389" w:type="dxa"/>
            <w:tcBorders>
              <w:top w:val="nil"/>
              <w:left w:val="nil"/>
              <w:bottom w:val="single" w:sz="4" w:space="0" w:color="auto"/>
              <w:right w:val="single" w:sz="4" w:space="0" w:color="auto"/>
            </w:tcBorders>
            <w:shd w:val="clear" w:color="auto" w:fill="auto"/>
            <w:vAlign w:val="center"/>
          </w:tcPr>
          <w:p w14:paraId="3117FED1"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指单位支付的水费支出。</w:t>
            </w:r>
          </w:p>
        </w:tc>
      </w:tr>
      <w:tr w:rsidR="00A11970" w14:paraId="0976A752" w14:textId="77777777">
        <w:trPr>
          <w:trHeight w:val="499"/>
        </w:trPr>
        <w:tc>
          <w:tcPr>
            <w:tcW w:w="771" w:type="dxa"/>
            <w:tcBorders>
              <w:top w:val="nil"/>
              <w:left w:val="single" w:sz="4" w:space="0" w:color="auto"/>
              <w:bottom w:val="single" w:sz="4" w:space="0" w:color="auto"/>
              <w:right w:val="single" w:sz="4" w:space="0" w:color="auto"/>
            </w:tcBorders>
            <w:shd w:val="clear" w:color="auto" w:fill="auto"/>
            <w:vAlign w:val="center"/>
          </w:tcPr>
          <w:p w14:paraId="4D6458D5"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6</w:t>
            </w:r>
          </w:p>
        </w:tc>
        <w:tc>
          <w:tcPr>
            <w:tcW w:w="1457" w:type="dxa"/>
            <w:tcBorders>
              <w:top w:val="nil"/>
              <w:left w:val="nil"/>
              <w:bottom w:val="single" w:sz="4" w:space="0" w:color="auto"/>
              <w:right w:val="single" w:sz="4" w:space="0" w:color="auto"/>
            </w:tcBorders>
            <w:shd w:val="clear" w:color="auto" w:fill="auto"/>
            <w:vAlign w:val="center"/>
          </w:tcPr>
          <w:p w14:paraId="1DB0B581"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电费</w:t>
            </w:r>
          </w:p>
        </w:tc>
        <w:tc>
          <w:tcPr>
            <w:tcW w:w="7389" w:type="dxa"/>
            <w:tcBorders>
              <w:top w:val="nil"/>
              <w:left w:val="nil"/>
              <w:bottom w:val="single" w:sz="4" w:space="0" w:color="auto"/>
              <w:right w:val="single" w:sz="4" w:space="0" w:color="auto"/>
            </w:tcBorders>
            <w:shd w:val="clear" w:color="auto" w:fill="auto"/>
            <w:vAlign w:val="center"/>
          </w:tcPr>
          <w:p w14:paraId="1F2FD7CD"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指单位支付的电费支出。</w:t>
            </w:r>
          </w:p>
        </w:tc>
      </w:tr>
      <w:tr w:rsidR="00A11970" w14:paraId="59AFAF7D" w14:textId="77777777">
        <w:trPr>
          <w:trHeight w:val="555"/>
        </w:trPr>
        <w:tc>
          <w:tcPr>
            <w:tcW w:w="771" w:type="dxa"/>
            <w:tcBorders>
              <w:top w:val="nil"/>
              <w:left w:val="single" w:sz="4" w:space="0" w:color="auto"/>
              <w:bottom w:val="single" w:sz="4" w:space="0" w:color="auto"/>
              <w:right w:val="single" w:sz="4" w:space="0" w:color="auto"/>
            </w:tcBorders>
            <w:shd w:val="clear" w:color="auto" w:fill="auto"/>
            <w:vAlign w:val="center"/>
          </w:tcPr>
          <w:p w14:paraId="27FDB215"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7</w:t>
            </w:r>
          </w:p>
        </w:tc>
        <w:tc>
          <w:tcPr>
            <w:tcW w:w="1457" w:type="dxa"/>
            <w:tcBorders>
              <w:top w:val="nil"/>
              <w:left w:val="nil"/>
              <w:bottom w:val="single" w:sz="4" w:space="0" w:color="auto"/>
              <w:right w:val="single" w:sz="4" w:space="0" w:color="auto"/>
            </w:tcBorders>
            <w:shd w:val="clear" w:color="auto" w:fill="auto"/>
            <w:vAlign w:val="center"/>
          </w:tcPr>
          <w:p w14:paraId="4AA5996F"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邮电费</w:t>
            </w:r>
          </w:p>
        </w:tc>
        <w:tc>
          <w:tcPr>
            <w:tcW w:w="7389" w:type="dxa"/>
            <w:tcBorders>
              <w:top w:val="nil"/>
              <w:left w:val="nil"/>
              <w:bottom w:val="single" w:sz="4" w:space="0" w:color="auto"/>
              <w:right w:val="single" w:sz="4" w:space="0" w:color="auto"/>
            </w:tcBorders>
            <w:shd w:val="clear" w:color="auto" w:fill="auto"/>
            <w:vAlign w:val="center"/>
          </w:tcPr>
          <w:p w14:paraId="4DFC0DF1"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指单位开支的电话费、电报费、传真费、网络通讯费等支出。</w:t>
            </w:r>
          </w:p>
        </w:tc>
      </w:tr>
      <w:tr w:rsidR="00A11970" w14:paraId="57B173E9" w14:textId="77777777">
        <w:trPr>
          <w:trHeight w:val="645"/>
        </w:trPr>
        <w:tc>
          <w:tcPr>
            <w:tcW w:w="771" w:type="dxa"/>
            <w:tcBorders>
              <w:top w:val="nil"/>
              <w:left w:val="single" w:sz="4" w:space="0" w:color="auto"/>
              <w:bottom w:val="single" w:sz="4" w:space="0" w:color="auto"/>
              <w:right w:val="single" w:sz="4" w:space="0" w:color="auto"/>
            </w:tcBorders>
            <w:shd w:val="clear" w:color="auto" w:fill="auto"/>
            <w:vAlign w:val="center"/>
          </w:tcPr>
          <w:p w14:paraId="43EC3F8D"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8</w:t>
            </w:r>
          </w:p>
        </w:tc>
        <w:tc>
          <w:tcPr>
            <w:tcW w:w="1457" w:type="dxa"/>
            <w:tcBorders>
              <w:top w:val="nil"/>
              <w:left w:val="nil"/>
              <w:bottom w:val="single" w:sz="4" w:space="0" w:color="auto"/>
              <w:right w:val="single" w:sz="4" w:space="0" w:color="auto"/>
            </w:tcBorders>
            <w:shd w:val="clear" w:color="auto" w:fill="auto"/>
            <w:vAlign w:val="center"/>
          </w:tcPr>
          <w:p w14:paraId="594EE8B3"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物业管理费</w:t>
            </w:r>
          </w:p>
        </w:tc>
        <w:tc>
          <w:tcPr>
            <w:tcW w:w="7389" w:type="dxa"/>
            <w:tcBorders>
              <w:top w:val="nil"/>
              <w:left w:val="nil"/>
              <w:bottom w:val="single" w:sz="4" w:space="0" w:color="auto"/>
              <w:right w:val="single" w:sz="4" w:space="0" w:color="auto"/>
            </w:tcBorders>
            <w:shd w:val="clear" w:color="auto" w:fill="auto"/>
            <w:vAlign w:val="center"/>
          </w:tcPr>
          <w:p w14:paraId="43420B1F"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指单位开支的办公用房、职工及离退休人员宿舍等的物业管理费，包括综合治理、绿化、卫生等方面的支出。</w:t>
            </w:r>
          </w:p>
        </w:tc>
      </w:tr>
      <w:tr w:rsidR="00A11970" w14:paraId="5CC64DBD" w14:textId="77777777">
        <w:trPr>
          <w:trHeight w:val="495"/>
        </w:trPr>
        <w:tc>
          <w:tcPr>
            <w:tcW w:w="771" w:type="dxa"/>
            <w:tcBorders>
              <w:top w:val="nil"/>
              <w:left w:val="single" w:sz="4" w:space="0" w:color="auto"/>
              <w:bottom w:val="single" w:sz="4" w:space="0" w:color="auto"/>
              <w:right w:val="single" w:sz="4" w:space="0" w:color="auto"/>
            </w:tcBorders>
            <w:shd w:val="clear" w:color="auto" w:fill="auto"/>
            <w:vAlign w:val="center"/>
          </w:tcPr>
          <w:p w14:paraId="4DB88EB4"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9</w:t>
            </w:r>
          </w:p>
        </w:tc>
        <w:tc>
          <w:tcPr>
            <w:tcW w:w="1457" w:type="dxa"/>
            <w:tcBorders>
              <w:top w:val="nil"/>
              <w:left w:val="nil"/>
              <w:bottom w:val="single" w:sz="4" w:space="0" w:color="auto"/>
              <w:right w:val="single" w:sz="4" w:space="0" w:color="auto"/>
            </w:tcBorders>
            <w:shd w:val="clear" w:color="auto" w:fill="auto"/>
            <w:vAlign w:val="center"/>
          </w:tcPr>
          <w:p w14:paraId="3C478029"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差旅费</w:t>
            </w:r>
          </w:p>
        </w:tc>
        <w:tc>
          <w:tcPr>
            <w:tcW w:w="7389" w:type="dxa"/>
            <w:tcBorders>
              <w:top w:val="nil"/>
              <w:left w:val="nil"/>
              <w:bottom w:val="single" w:sz="4" w:space="0" w:color="auto"/>
              <w:right w:val="single" w:sz="4" w:space="0" w:color="auto"/>
            </w:tcBorders>
            <w:shd w:val="clear" w:color="auto" w:fill="auto"/>
            <w:vAlign w:val="center"/>
          </w:tcPr>
          <w:p w14:paraId="1E0C6689"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指单位工作人员因出差支付的住宿费、购买机票支出等。</w:t>
            </w:r>
          </w:p>
        </w:tc>
      </w:tr>
      <w:tr w:rsidR="00A11970" w14:paraId="62C0EE45" w14:textId="77777777">
        <w:trPr>
          <w:trHeight w:val="615"/>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3EA13FCD"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10</w:t>
            </w:r>
          </w:p>
        </w:tc>
        <w:tc>
          <w:tcPr>
            <w:tcW w:w="1457" w:type="dxa"/>
            <w:tcBorders>
              <w:top w:val="single" w:sz="4" w:space="0" w:color="auto"/>
              <w:left w:val="nil"/>
              <w:bottom w:val="single" w:sz="4" w:space="0" w:color="auto"/>
              <w:right w:val="single" w:sz="4" w:space="0" w:color="auto"/>
            </w:tcBorders>
            <w:shd w:val="clear" w:color="auto" w:fill="auto"/>
            <w:vAlign w:val="center"/>
          </w:tcPr>
          <w:p w14:paraId="4B1963C7"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维修（护）费</w:t>
            </w:r>
          </w:p>
        </w:tc>
        <w:tc>
          <w:tcPr>
            <w:tcW w:w="7389" w:type="dxa"/>
            <w:tcBorders>
              <w:top w:val="single" w:sz="4" w:space="0" w:color="auto"/>
              <w:left w:val="nil"/>
              <w:bottom w:val="single" w:sz="4" w:space="0" w:color="auto"/>
              <w:right w:val="single" w:sz="4" w:space="0" w:color="auto"/>
            </w:tcBorders>
            <w:shd w:val="clear" w:color="auto" w:fill="auto"/>
            <w:vAlign w:val="center"/>
          </w:tcPr>
          <w:p w14:paraId="2815AE00"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指单位日常开支的固定资产（不包括车船等交通工具）修理和维护费用，网络信息系统运行与维护费用。</w:t>
            </w:r>
          </w:p>
        </w:tc>
      </w:tr>
      <w:tr w:rsidR="00A11970" w14:paraId="6238D8EA" w14:textId="77777777">
        <w:trPr>
          <w:trHeight w:val="510"/>
        </w:trPr>
        <w:tc>
          <w:tcPr>
            <w:tcW w:w="771" w:type="dxa"/>
            <w:tcBorders>
              <w:top w:val="nil"/>
              <w:left w:val="single" w:sz="4" w:space="0" w:color="auto"/>
              <w:bottom w:val="single" w:sz="4" w:space="0" w:color="auto"/>
              <w:right w:val="single" w:sz="4" w:space="0" w:color="auto"/>
            </w:tcBorders>
            <w:shd w:val="clear" w:color="auto" w:fill="auto"/>
            <w:vAlign w:val="center"/>
          </w:tcPr>
          <w:p w14:paraId="1E81B6B8"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11</w:t>
            </w:r>
          </w:p>
        </w:tc>
        <w:tc>
          <w:tcPr>
            <w:tcW w:w="1457" w:type="dxa"/>
            <w:tcBorders>
              <w:top w:val="nil"/>
              <w:left w:val="nil"/>
              <w:bottom w:val="single" w:sz="4" w:space="0" w:color="auto"/>
              <w:right w:val="single" w:sz="4" w:space="0" w:color="auto"/>
            </w:tcBorders>
            <w:shd w:val="clear" w:color="auto" w:fill="auto"/>
            <w:vAlign w:val="center"/>
          </w:tcPr>
          <w:p w14:paraId="714B68AA"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租赁费</w:t>
            </w:r>
          </w:p>
        </w:tc>
        <w:tc>
          <w:tcPr>
            <w:tcW w:w="7389" w:type="dxa"/>
            <w:tcBorders>
              <w:top w:val="nil"/>
              <w:left w:val="nil"/>
              <w:bottom w:val="single" w:sz="4" w:space="0" w:color="auto"/>
              <w:right w:val="single" w:sz="4" w:space="0" w:color="auto"/>
            </w:tcBorders>
            <w:shd w:val="clear" w:color="auto" w:fill="auto"/>
            <w:vAlign w:val="center"/>
          </w:tcPr>
          <w:p w14:paraId="74FB27F5"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指租赁办公用房、宿舍、专用通讯网以及其他设备等方面的费用。</w:t>
            </w:r>
          </w:p>
        </w:tc>
      </w:tr>
      <w:tr w:rsidR="00A11970" w14:paraId="5A4C4D6A" w14:textId="77777777">
        <w:trPr>
          <w:trHeight w:val="570"/>
        </w:trPr>
        <w:tc>
          <w:tcPr>
            <w:tcW w:w="771" w:type="dxa"/>
            <w:tcBorders>
              <w:top w:val="nil"/>
              <w:left w:val="single" w:sz="4" w:space="0" w:color="auto"/>
              <w:bottom w:val="single" w:sz="4" w:space="0" w:color="auto"/>
              <w:right w:val="single" w:sz="4" w:space="0" w:color="auto"/>
            </w:tcBorders>
            <w:shd w:val="clear" w:color="auto" w:fill="auto"/>
            <w:vAlign w:val="center"/>
          </w:tcPr>
          <w:p w14:paraId="39E66D0A"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12</w:t>
            </w:r>
          </w:p>
        </w:tc>
        <w:tc>
          <w:tcPr>
            <w:tcW w:w="1457" w:type="dxa"/>
            <w:tcBorders>
              <w:top w:val="nil"/>
              <w:left w:val="nil"/>
              <w:bottom w:val="single" w:sz="4" w:space="0" w:color="auto"/>
              <w:right w:val="single" w:sz="4" w:space="0" w:color="auto"/>
            </w:tcBorders>
            <w:shd w:val="clear" w:color="auto" w:fill="auto"/>
            <w:vAlign w:val="center"/>
          </w:tcPr>
          <w:p w14:paraId="57F1DEEA"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会议费</w:t>
            </w:r>
          </w:p>
        </w:tc>
        <w:tc>
          <w:tcPr>
            <w:tcW w:w="7389" w:type="dxa"/>
            <w:tcBorders>
              <w:top w:val="nil"/>
              <w:left w:val="nil"/>
              <w:bottom w:val="single" w:sz="4" w:space="0" w:color="auto"/>
              <w:right w:val="single" w:sz="4" w:space="0" w:color="auto"/>
            </w:tcBorders>
            <w:shd w:val="clear" w:color="auto" w:fill="auto"/>
            <w:vAlign w:val="center"/>
          </w:tcPr>
          <w:p w14:paraId="75019F61" w14:textId="77777777" w:rsidR="00A11970" w:rsidRDefault="00EF0C91">
            <w:pPr>
              <w:widowControl/>
              <w:rPr>
                <w:rFonts w:ascii="仿宋_GB2312" w:eastAsia="仿宋_GB2312" w:hAnsi="仿宋_GB2312" w:cs="仿宋_GB2312"/>
                <w:kern w:val="0"/>
                <w:sz w:val="24"/>
              </w:rPr>
            </w:pPr>
            <w:proofErr w:type="gramStart"/>
            <w:r>
              <w:rPr>
                <w:rFonts w:ascii="仿宋_GB2312" w:eastAsia="仿宋_GB2312" w:hAnsi="仿宋_GB2312" w:cs="仿宋_GB2312" w:hint="eastAsia"/>
                <w:kern w:val="0"/>
                <w:sz w:val="24"/>
              </w:rPr>
              <w:t>指会议</w:t>
            </w:r>
            <w:proofErr w:type="gramEnd"/>
            <w:r>
              <w:rPr>
                <w:rFonts w:ascii="仿宋_GB2312" w:eastAsia="仿宋_GB2312" w:hAnsi="仿宋_GB2312" w:cs="仿宋_GB2312" w:hint="eastAsia"/>
                <w:kern w:val="0"/>
                <w:sz w:val="24"/>
              </w:rPr>
              <w:t>中按规定开支的房租费、伙食补助费以及文件资料的印刷费、</w:t>
            </w:r>
            <w:proofErr w:type="gramStart"/>
            <w:r>
              <w:rPr>
                <w:rFonts w:ascii="仿宋_GB2312" w:eastAsia="仿宋_GB2312" w:hAnsi="仿宋_GB2312" w:cs="仿宋_GB2312" w:hint="eastAsia"/>
                <w:kern w:val="0"/>
                <w:sz w:val="24"/>
              </w:rPr>
              <w:t>会议场</w:t>
            </w:r>
            <w:proofErr w:type="gramEnd"/>
            <w:r>
              <w:rPr>
                <w:rFonts w:ascii="仿宋_GB2312" w:eastAsia="仿宋_GB2312" w:hAnsi="仿宋_GB2312" w:cs="仿宋_GB2312" w:hint="eastAsia"/>
                <w:kern w:val="0"/>
                <w:sz w:val="24"/>
              </w:rPr>
              <w:t>地租用费等。</w:t>
            </w:r>
          </w:p>
        </w:tc>
      </w:tr>
      <w:tr w:rsidR="00A11970" w14:paraId="402B1DC0" w14:textId="77777777">
        <w:trPr>
          <w:trHeight w:val="435"/>
        </w:trPr>
        <w:tc>
          <w:tcPr>
            <w:tcW w:w="771" w:type="dxa"/>
            <w:tcBorders>
              <w:top w:val="nil"/>
              <w:left w:val="single" w:sz="4" w:space="0" w:color="auto"/>
              <w:bottom w:val="single" w:sz="4" w:space="0" w:color="auto"/>
              <w:right w:val="single" w:sz="4" w:space="0" w:color="auto"/>
            </w:tcBorders>
            <w:shd w:val="clear" w:color="auto" w:fill="auto"/>
            <w:vAlign w:val="center"/>
          </w:tcPr>
          <w:p w14:paraId="3C42BB0B"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13</w:t>
            </w:r>
          </w:p>
        </w:tc>
        <w:tc>
          <w:tcPr>
            <w:tcW w:w="1457" w:type="dxa"/>
            <w:tcBorders>
              <w:top w:val="nil"/>
              <w:left w:val="nil"/>
              <w:bottom w:val="single" w:sz="4" w:space="0" w:color="auto"/>
              <w:right w:val="single" w:sz="4" w:space="0" w:color="auto"/>
            </w:tcBorders>
            <w:shd w:val="clear" w:color="auto" w:fill="auto"/>
            <w:vAlign w:val="center"/>
          </w:tcPr>
          <w:p w14:paraId="670E5F2C"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培训费</w:t>
            </w:r>
          </w:p>
        </w:tc>
        <w:tc>
          <w:tcPr>
            <w:tcW w:w="7389" w:type="dxa"/>
            <w:tcBorders>
              <w:top w:val="nil"/>
              <w:left w:val="nil"/>
              <w:bottom w:val="single" w:sz="4" w:space="0" w:color="auto"/>
              <w:right w:val="single" w:sz="4" w:space="0" w:color="auto"/>
            </w:tcBorders>
            <w:shd w:val="clear" w:color="auto" w:fill="auto"/>
            <w:vAlign w:val="center"/>
          </w:tcPr>
          <w:p w14:paraId="2D661472"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指各类培训支出。</w:t>
            </w:r>
          </w:p>
        </w:tc>
      </w:tr>
      <w:tr w:rsidR="00A11970" w14:paraId="1786DAF1" w14:textId="77777777">
        <w:trPr>
          <w:trHeight w:val="450"/>
        </w:trPr>
        <w:tc>
          <w:tcPr>
            <w:tcW w:w="771" w:type="dxa"/>
            <w:tcBorders>
              <w:top w:val="nil"/>
              <w:left w:val="single" w:sz="4" w:space="0" w:color="auto"/>
              <w:bottom w:val="single" w:sz="4" w:space="0" w:color="auto"/>
              <w:right w:val="single" w:sz="4" w:space="0" w:color="auto"/>
            </w:tcBorders>
            <w:shd w:val="clear" w:color="auto" w:fill="auto"/>
            <w:vAlign w:val="center"/>
          </w:tcPr>
          <w:p w14:paraId="51211B67"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14</w:t>
            </w:r>
          </w:p>
        </w:tc>
        <w:tc>
          <w:tcPr>
            <w:tcW w:w="1457" w:type="dxa"/>
            <w:tcBorders>
              <w:top w:val="nil"/>
              <w:left w:val="nil"/>
              <w:bottom w:val="single" w:sz="4" w:space="0" w:color="auto"/>
              <w:right w:val="single" w:sz="4" w:space="0" w:color="auto"/>
            </w:tcBorders>
            <w:shd w:val="clear" w:color="auto" w:fill="auto"/>
            <w:vAlign w:val="center"/>
          </w:tcPr>
          <w:p w14:paraId="7E251149"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公务接待费</w:t>
            </w:r>
          </w:p>
        </w:tc>
        <w:tc>
          <w:tcPr>
            <w:tcW w:w="7389" w:type="dxa"/>
            <w:tcBorders>
              <w:top w:val="nil"/>
              <w:left w:val="nil"/>
              <w:bottom w:val="single" w:sz="4" w:space="0" w:color="auto"/>
              <w:right w:val="single" w:sz="4" w:space="0" w:color="auto"/>
            </w:tcBorders>
            <w:shd w:val="clear" w:color="auto" w:fill="auto"/>
            <w:vAlign w:val="center"/>
          </w:tcPr>
          <w:p w14:paraId="6F1519AC"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指单位按规定开支的各类公务接待费用。</w:t>
            </w:r>
          </w:p>
        </w:tc>
      </w:tr>
      <w:tr w:rsidR="00A11970" w14:paraId="26D55FE6" w14:textId="77777777">
        <w:trPr>
          <w:trHeight w:val="1110"/>
        </w:trPr>
        <w:tc>
          <w:tcPr>
            <w:tcW w:w="771" w:type="dxa"/>
            <w:tcBorders>
              <w:top w:val="nil"/>
              <w:left w:val="single" w:sz="4" w:space="0" w:color="auto"/>
              <w:bottom w:val="single" w:sz="4" w:space="0" w:color="auto"/>
              <w:right w:val="single" w:sz="4" w:space="0" w:color="auto"/>
            </w:tcBorders>
            <w:shd w:val="clear" w:color="auto" w:fill="auto"/>
            <w:vAlign w:val="center"/>
          </w:tcPr>
          <w:p w14:paraId="2B8A01FB"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15</w:t>
            </w:r>
          </w:p>
        </w:tc>
        <w:tc>
          <w:tcPr>
            <w:tcW w:w="1457" w:type="dxa"/>
            <w:tcBorders>
              <w:top w:val="nil"/>
              <w:left w:val="nil"/>
              <w:bottom w:val="single" w:sz="4" w:space="0" w:color="auto"/>
              <w:right w:val="single" w:sz="4" w:space="0" w:color="auto"/>
            </w:tcBorders>
            <w:shd w:val="clear" w:color="auto" w:fill="auto"/>
            <w:vAlign w:val="center"/>
          </w:tcPr>
          <w:p w14:paraId="687AB706"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专用材料费</w:t>
            </w:r>
          </w:p>
        </w:tc>
        <w:tc>
          <w:tcPr>
            <w:tcW w:w="7389" w:type="dxa"/>
            <w:tcBorders>
              <w:top w:val="nil"/>
              <w:left w:val="nil"/>
              <w:bottom w:val="single" w:sz="4" w:space="0" w:color="auto"/>
              <w:right w:val="single" w:sz="4" w:space="0" w:color="auto"/>
            </w:tcBorders>
            <w:shd w:val="clear" w:color="auto" w:fill="auto"/>
            <w:vAlign w:val="center"/>
          </w:tcPr>
          <w:p w14:paraId="46CC4DE7"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购买日常专用材料的支出。具体包括药品及医疗耗材，农用材料，兽医用品，实验室用品，专用服装，消耗性体育用品，专用工具和仪器，艺术部门专用材料和用品，广播电视台发射台发射机的电力、材料等方面的支出。</w:t>
            </w:r>
          </w:p>
        </w:tc>
      </w:tr>
      <w:tr w:rsidR="00A11970" w14:paraId="0AD6210F" w14:textId="77777777">
        <w:trPr>
          <w:trHeight w:val="480"/>
        </w:trPr>
        <w:tc>
          <w:tcPr>
            <w:tcW w:w="771" w:type="dxa"/>
            <w:tcBorders>
              <w:top w:val="nil"/>
              <w:left w:val="single" w:sz="4" w:space="0" w:color="auto"/>
              <w:bottom w:val="single" w:sz="4" w:space="0" w:color="auto"/>
              <w:right w:val="single" w:sz="4" w:space="0" w:color="auto"/>
            </w:tcBorders>
            <w:shd w:val="clear" w:color="auto" w:fill="auto"/>
            <w:vAlign w:val="center"/>
          </w:tcPr>
          <w:p w14:paraId="62CCD13F"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16</w:t>
            </w:r>
          </w:p>
        </w:tc>
        <w:tc>
          <w:tcPr>
            <w:tcW w:w="1457" w:type="dxa"/>
            <w:tcBorders>
              <w:top w:val="nil"/>
              <w:left w:val="nil"/>
              <w:bottom w:val="single" w:sz="4" w:space="0" w:color="auto"/>
              <w:right w:val="single" w:sz="4" w:space="0" w:color="auto"/>
            </w:tcBorders>
            <w:shd w:val="clear" w:color="auto" w:fill="auto"/>
            <w:vAlign w:val="center"/>
          </w:tcPr>
          <w:p w14:paraId="66843DCB"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公务用车运行维护费</w:t>
            </w:r>
          </w:p>
        </w:tc>
        <w:tc>
          <w:tcPr>
            <w:tcW w:w="7389" w:type="dxa"/>
            <w:tcBorders>
              <w:top w:val="nil"/>
              <w:left w:val="nil"/>
              <w:bottom w:val="single" w:sz="4" w:space="0" w:color="auto"/>
              <w:right w:val="single" w:sz="4" w:space="0" w:color="auto"/>
            </w:tcBorders>
            <w:shd w:val="clear" w:color="auto" w:fill="auto"/>
            <w:vAlign w:val="center"/>
          </w:tcPr>
          <w:p w14:paraId="7A4381C3"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指公务用车的燃料费、维修费、保险费等支出。</w:t>
            </w:r>
          </w:p>
        </w:tc>
      </w:tr>
      <w:tr w:rsidR="00A11970" w14:paraId="3FCF0654" w14:textId="77777777">
        <w:trPr>
          <w:trHeight w:val="480"/>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14:paraId="53BF02CE"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17</w:t>
            </w:r>
          </w:p>
        </w:tc>
        <w:tc>
          <w:tcPr>
            <w:tcW w:w="1457" w:type="dxa"/>
            <w:tcBorders>
              <w:top w:val="single" w:sz="4" w:space="0" w:color="auto"/>
              <w:left w:val="nil"/>
              <w:bottom w:val="single" w:sz="4" w:space="0" w:color="auto"/>
              <w:right w:val="single" w:sz="4" w:space="0" w:color="auto"/>
            </w:tcBorders>
            <w:shd w:val="clear" w:color="auto" w:fill="auto"/>
            <w:vAlign w:val="center"/>
          </w:tcPr>
          <w:p w14:paraId="61DB882D" w14:textId="77777777" w:rsidR="00A11970" w:rsidRDefault="00EF0C91">
            <w:pPr>
              <w:widowControl/>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其他交通费用</w:t>
            </w:r>
          </w:p>
        </w:tc>
        <w:tc>
          <w:tcPr>
            <w:tcW w:w="7389" w:type="dxa"/>
            <w:tcBorders>
              <w:top w:val="single" w:sz="4" w:space="0" w:color="auto"/>
              <w:left w:val="nil"/>
              <w:bottom w:val="single" w:sz="4" w:space="0" w:color="auto"/>
              <w:right w:val="single" w:sz="4" w:space="0" w:color="auto"/>
            </w:tcBorders>
            <w:shd w:val="clear" w:color="auto" w:fill="auto"/>
            <w:vAlign w:val="center"/>
          </w:tcPr>
          <w:p w14:paraId="3E042367" w14:textId="77777777" w:rsidR="00A11970" w:rsidRDefault="00EF0C91">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指单位除公务用车运行维护费以外的其他交通费用。如飞机、船舶等的燃料费、维修费、保险费等。</w:t>
            </w:r>
          </w:p>
        </w:tc>
      </w:tr>
      <w:tr w:rsidR="00A11970" w14:paraId="2211FBD7" w14:textId="77777777">
        <w:trPr>
          <w:trHeight w:val="624"/>
        </w:trPr>
        <w:tc>
          <w:tcPr>
            <w:tcW w:w="9617" w:type="dxa"/>
            <w:gridSpan w:val="3"/>
            <w:vMerge w:val="restart"/>
            <w:tcBorders>
              <w:top w:val="single" w:sz="4" w:space="0" w:color="auto"/>
              <w:left w:val="nil"/>
              <w:bottom w:val="nil"/>
              <w:right w:val="nil"/>
            </w:tcBorders>
            <w:shd w:val="clear" w:color="auto" w:fill="auto"/>
            <w:noWrap/>
            <w:vAlign w:val="center"/>
          </w:tcPr>
          <w:p w14:paraId="04328B2D" w14:textId="77777777" w:rsidR="00A11970" w:rsidRDefault="00EF0C91">
            <w:pPr>
              <w:widowControl/>
              <w:jc w:val="left"/>
              <w:rPr>
                <w:rFonts w:ascii="仿宋_GB2312" w:eastAsia="仿宋_GB2312" w:hAnsi="仿宋_GB2312" w:cs="仿宋_GB2312"/>
                <w:kern w:val="0"/>
                <w:sz w:val="24"/>
              </w:rPr>
            </w:pPr>
            <w:r>
              <w:rPr>
                <w:rFonts w:ascii="仿宋_GB2312" w:eastAsia="仿宋_GB2312" w:hAnsi="仿宋_GB2312" w:cs="仿宋_GB2312" w:hint="eastAsia"/>
                <w:kern w:val="0"/>
                <w:sz w:val="24"/>
              </w:rPr>
              <w:t>注：以上所列项目，原使用银行转账方式结算的，可继续使用转账方式。</w:t>
            </w:r>
          </w:p>
        </w:tc>
      </w:tr>
      <w:tr w:rsidR="00A11970" w14:paraId="73923777" w14:textId="77777777">
        <w:trPr>
          <w:trHeight w:val="312"/>
        </w:trPr>
        <w:tc>
          <w:tcPr>
            <w:tcW w:w="9617" w:type="dxa"/>
            <w:gridSpan w:val="3"/>
            <w:vMerge/>
            <w:tcBorders>
              <w:top w:val="single" w:sz="4" w:space="0" w:color="auto"/>
              <w:left w:val="nil"/>
              <w:bottom w:val="nil"/>
              <w:right w:val="nil"/>
            </w:tcBorders>
            <w:vAlign w:val="center"/>
          </w:tcPr>
          <w:p w14:paraId="26F72D51" w14:textId="77777777" w:rsidR="00A11970" w:rsidRDefault="00A11970">
            <w:pPr>
              <w:widowControl/>
              <w:jc w:val="left"/>
              <w:rPr>
                <w:rFonts w:ascii="宋体" w:hAnsi="宋体" w:cs="宋体"/>
                <w:kern w:val="0"/>
                <w:sz w:val="20"/>
                <w:szCs w:val="20"/>
              </w:rPr>
            </w:pPr>
          </w:p>
        </w:tc>
      </w:tr>
    </w:tbl>
    <w:p w14:paraId="4B66D587" w14:textId="77777777" w:rsidR="00A11970" w:rsidRDefault="00A11970">
      <w:pPr>
        <w:widowControl/>
        <w:spacing w:after="4" w:line="360" w:lineRule="auto"/>
        <w:jc w:val="left"/>
      </w:pPr>
    </w:p>
    <w:sectPr w:rsidR="00A11970">
      <w:footerReference w:type="even" r:id="rId8"/>
      <w:footerReference w:type="default" r:id="rId9"/>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596AF" w14:textId="77777777" w:rsidR="00EF0C91" w:rsidRDefault="00EF0C91">
      <w:r>
        <w:separator/>
      </w:r>
    </w:p>
  </w:endnote>
  <w:endnote w:type="continuationSeparator" w:id="0">
    <w:p w14:paraId="286F58F6" w14:textId="77777777" w:rsidR="00EF0C91" w:rsidRDefault="00EF0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695001"/>
    </w:sdtPr>
    <w:sdtEndPr>
      <w:rPr>
        <w:rFonts w:asciiTheme="minorEastAsia" w:eastAsiaTheme="minorEastAsia" w:hAnsiTheme="minorEastAsia"/>
        <w:sz w:val="28"/>
        <w:szCs w:val="28"/>
      </w:rPr>
    </w:sdtEndPr>
    <w:sdtContent>
      <w:p w14:paraId="0924EA6F" w14:textId="77777777" w:rsidR="00A11970" w:rsidRDefault="00EF0C91">
        <w:pPr>
          <w:pStyle w:val="ae"/>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Pr>
            <w:rFonts w:asciiTheme="minorEastAsia" w:eastAsiaTheme="minorEastAsia" w:hAnsiTheme="minorEastAsia"/>
            <w:sz w:val="28"/>
            <w:szCs w:val="28"/>
          </w:rPr>
          <w:t>2</w:t>
        </w:r>
        <w:r>
          <w:rPr>
            <w:rFonts w:asciiTheme="minorEastAsia" w:eastAsiaTheme="minorEastAsia" w:hAnsiTheme="minorEastAsia"/>
            <w:sz w:val="28"/>
            <w:szCs w:val="28"/>
          </w:rPr>
          <w:fldChar w:fldCharType="end"/>
        </w:r>
      </w:p>
    </w:sdtContent>
  </w:sdt>
  <w:p w14:paraId="68425E8B" w14:textId="77777777" w:rsidR="00A11970" w:rsidRDefault="00A11970">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46963"/>
    </w:sdtPr>
    <w:sdtEndPr>
      <w:rPr>
        <w:rFonts w:asciiTheme="minorEastAsia" w:eastAsiaTheme="minorEastAsia" w:hAnsiTheme="minorEastAsia"/>
        <w:sz w:val="28"/>
        <w:szCs w:val="28"/>
      </w:rPr>
    </w:sdtEndPr>
    <w:sdtContent>
      <w:p w14:paraId="77E42C46" w14:textId="77777777" w:rsidR="00A11970" w:rsidRDefault="00EF0C91">
        <w:pPr>
          <w:pStyle w:val="ae"/>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Pr>
            <w:rFonts w:asciiTheme="minorEastAsia" w:eastAsiaTheme="minorEastAsia" w:hAnsiTheme="minorEastAsia"/>
            <w:sz w:val="28"/>
            <w:szCs w:val="28"/>
            <w:lang w:val="zh-CN"/>
          </w:rPr>
          <w:t>-</w:t>
        </w:r>
        <w:r>
          <w:rPr>
            <w:rFonts w:asciiTheme="minorEastAsia" w:eastAsiaTheme="minorEastAsia" w:hAnsiTheme="minorEastAsia"/>
            <w:sz w:val="28"/>
            <w:szCs w:val="28"/>
          </w:rPr>
          <w:t xml:space="preserve"> 9 -</w:t>
        </w:r>
        <w:r>
          <w:rPr>
            <w:rFonts w:asciiTheme="minorEastAsia" w:eastAsiaTheme="minorEastAsia" w:hAnsiTheme="min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4B9E3" w14:textId="77777777" w:rsidR="00EF0C91" w:rsidRDefault="00EF0C91">
      <w:r>
        <w:separator/>
      </w:r>
    </w:p>
  </w:footnote>
  <w:footnote w:type="continuationSeparator" w:id="0">
    <w:p w14:paraId="4625F811" w14:textId="77777777" w:rsidR="00EF0C91" w:rsidRDefault="00EF0C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evenAndOddHeaders/>
  <w:drawingGridHorizontalSpacing w:val="10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NjZTI4MjU4N2RjZTk4NTJkZjdhYjk1NGM3MWNhYjEifQ=="/>
  </w:docVars>
  <w:rsids>
    <w:rsidRoot w:val="003B0CD6"/>
    <w:rsid w:val="00003EDE"/>
    <w:rsid w:val="0000539B"/>
    <w:rsid w:val="00026923"/>
    <w:rsid w:val="00040CC1"/>
    <w:rsid w:val="00086C7E"/>
    <w:rsid w:val="000B125E"/>
    <w:rsid w:val="000C00B7"/>
    <w:rsid w:val="00117913"/>
    <w:rsid w:val="00124259"/>
    <w:rsid w:val="00132924"/>
    <w:rsid w:val="00141836"/>
    <w:rsid w:val="00144A4A"/>
    <w:rsid w:val="001621D3"/>
    <w:rsid w:val="0016376D"/>
    <w:rsid w:val="00165E6E"/>
    <w:rsid w:val="001712CC"/>
    <w:rsid w:val="001972F1"/>
    <w:rsid w:val="001A1900"/>
    <w:rsid w:val="001B0A54"/>
    <w:rsid w:val="001D471A"/>
    <w:rsid w:val="00230290"/>
    <w:rsid w:val="00264522"/>
    <w:rsid w:val="00264DBE"/>
    <w:rsid w:val="002710B3"/>
    <w:rsid w:val="00271C51"/>
    <w:rsid w:val="002758A3"/>
    <w:rsid w:val="002B67AD"/>
    <w:rsid w:val="002F2E50"/>
    <w:rsid w:val="00302EBD"/>
    <w:rsid w:val="00336212"/>
    <w:rsid w:val="00354E2C"/>
    <w:rsid w:val="00390EC5"/>
    <w:rsid w:val="00396E03"/>
    <w:rsid w:val="003B0CD6"/>
    <w:rsid w:val="003B70F3"/>
    <w:rsid w:val="003C030F"/>
    <w:rsid w:val="003F2223"/>
    <w:rsid w:val="003F28E7"/>
    <w:rsid w:val="00404BC3"/>
    <w:rsid w:val="00420B4F"/>
    <w:rsid w:val="00492795"/>
    <w:rsid w:val="004B3EB3"/>
    <w:rsid w:val="004B674D"/>
    <w:rsid w:val="004E168F"/>
    <w:rsid w:val="004F3093"/>
    <w:rsid w:val="00516C9D"/>
    <w:rsid w:val="00533E58"/>
    <w:rsid w:val="005400FF"/>
    <w:rsid w:val="005436C0"/>
    <w:rsid w:val="00595090"/>
    <w:rsid w:val="005F0A01"/>
    <w:rsid w:val="005F21CC"/>
    <w:rsid w:val="00600DF4"/>
    <w:rsid w:val="0067245E"/>
    <w:rsid w:val="00674D04"/>
    <w:rsid w:val="0067718D"/>
    <w:rsid w:val="00685E3F"/>
    <w:rsid w:val="006B1E50"/>
    <w:rsid w:val="006B2732"/>
    <w:rsid w:val="006E29BD"/>
    <w:rsid w:val="00733A48"/>
    <w:rsid w:val="00783924"/>
    <w:rsid w:val="00793CF0"/>
    <w:rsid w:val="00797D4E"/>
    <w:rsid w:val="007A00C1"/>
    <w:rsid w:val="007E0DF1"/>
    <w:rsid w:val="00804A3F"/>
    <w:rsid w:val="0080635D"/>
    <w:rsid w:val="00806D8D"/>
    <w:rsid w:val="00824491"/>
    <w:rsid w:val="0086530B"/>
    <w:rsid w:val="008A10B2"/>
    <w:rsid w:val="008D6177"/>
    <w:rsid w:val="008D644C"/>
    <w:rsid w:val="008F6E5E"/>
    <w:rsid w:val="00944AF4"/>
    <w:rsid w:val="00982EA5"/>
    <w:rsid w:val="009C1917"/>
    <w:rsid w:val="009C3251"/>
    <w:rsid w:val="00A11970"/>
    <w:rsid w:val="00A40B89"/>
    <w:rsid w:val="00A62FF9"/>
    <w:rsid w:val="00AB730C"/>
    <w:rsid w:val="00AB7FC9"/>
    <w:rsid w:val="00AC2C13"/>
    <w:rsid w:val="00AF10D8"/>
    <w:rsid w:val="00AF22DF"/>
    <w:rsid w:val="00B12F8D"/>
    <w:rsid w:val="00B13AC4"/>
    <w:rsid w:val="00B45191"/>
    <w:rsid w:val="00B63457"/>
    <w:rsid w:val="00B713B8"/>
    <w:rsid w:val="00B802F2"/>
    <w:rsid w:val="00B96CFC"/>
    <w:rsid w:val="00BB6C0C"/>
    <w:rsid w:val="00BC521B"/>
    <w:rsid w:val="00C02884"/>
    <w:rsid w:val="00C03573"/>
    <w:rsid w:val="00C45B56"/>
    <w:rsid w:val="00C9285D"/>
    <w:rsid w:val="00CA10A4"/>
    <w:rsid w:val="00CC163C"/>
    <w:rsid w:val="00CD2036"/>
    <w:rsid w:val="00D17066"/>
    <w:rsid w:val="00D22B72"/>
    <w:rsid w:val="00D26171"/>
    <w:rsid w:val="00D338C9"/>
    <w:rsid w:val="00D367FD"/>
    <w:rsid w:val="00D545ED"/>
    <w:rsid w:val="00DA1991"/>
    <w:rsid w:val="00DC2CDA"/>
    <w:rsid w:val="00DE7FAB"/>
    <w:rsid w:val="00DF7931"/>
    <w:rsid w:val="00E010D6"/>
    <w:rsid w:val="00E27863"/>
    <w:rsid w:val="00E43CDB"/>
    <w:rsid w:val="00E44631"/>
    <w:rsid w:val="00E57937"/>
    <w:rsid w:val="00E61423"/>
    <w:rsid w:val="00E643C9"/>
    <w:rsid w:val="00E84CE1"/>
    <w:rsid w:val="00E87074"/>
    <w:rsid w:val="00E90120"/>
    <w:rsid w:val="00EA4574"/>
    <w:rsid w:val="00EA4669"/>
    <w:rsid w:val="00EC36EE"/>
    <w:rsid w:val="00EC6359"/>
    <w:rsid w:val="00ED240B"/>
    <w:rsid w:val="00EF0C91"/>
    <w:rsid w:val="00EF5C33"/>
    <w:rsid w:val="00F25F19"/>
    <w:rsid w:val="00F52EA4"/>
    <w:rsid w:val="00F6003D"/>
    <w:rsid w:val="00F946B3"/>
    <w:rsid w:val="00FA0426"/>
    <w:rsid w:val="00FD6783"/>
    <w:rsid w:val="00FE7314"/>
    <w:rsid w:val="00FF0C27"/>
    <w:rsid w:val="00FF7C37"/>
    <w:rsid w:val="01527049"/>
    <w:rsid w:val="062C4B29"/>
    <w:rsid w:val="07B06AF1"/>
    <w:rsid w:val="111937F1"/>
    <w:rsid w:val="1A174A00"/>
    <w:rsid w:val="3949332A"/>
    <w:rsid w:val="474B5F10"/>
    <w:rsid w:val="52EB665E"/>
    <w:rsid w:val="5D0F3B77"/>
    <w:rsid w:val="6EC801D0"/>
    <w:rsid w:val="73964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04634"/>
  <w15:docId w15:val="{230C6611-51B2-4200-8548-A19A18DD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Pr>
      <w:rFonts w:ascii="Cambria" w:eastAsia="黑体" w:hAnsi="Cambria"/>
      <w:sz w:val="20"/>
      <w:szCs w:val="20"/>
    </w:rPr>
  </w:style>
  <w:style w:type="paragraph" w:styleId="a4">
    <w:name w:val="Body Text"/>
    <w:basedOn w:val="a"/>
    <w:link w:val="a5"/>
    <w:qFormat/>
    <w:pPr>
      <w:spacing w:after="120"/>
    </w:pPr>
  </w:style>
  <w:style w:type="paragraph" w:styleId="a6">
    <w:name w:val="Body Text Indent"/>
    <w:basedOn w:val="a"/>
    <w:link w:val="a7"/>
    <w:qFormat/>
    <w:pPr>
      <w:spacing w:after="120"/>
      <w:ind w:leftChars="200" w:left="420"/>
    </w:pPr>
    <w:rPr>
      <w:rFonts w:ascii="Calibri" w:hAnsi="Calibri"/>
      <w:sz w:val="18"/>
      <w:szCs w:val="18"/>
    </w:rPr>
  </w:style>
  <w:style w:type="paragraph" w:styleId="a8">
    <w:name w:val="Plain Text"/>
    <w:basedOn w:val="a"/>
    <w:link w:val="a9"/>
    <w:qFormat/>
    <w:rPr>
      <w:rFonts w:ascii="宋体" w:eastAsia="仿宋_GB2312" w:hAnsi="Courier New"/>
      <w:sz w:val="32"/>
      <w:szCs w:val="21"/>
    </w:rPr>
  </w:style>
  <w:style w:type="paragraph" w:styleId="aa">
    <w:name w:val="Date"/>
    <w:basedOn w:val="a"/>
    <w:next w:val="a"/>
    <w:link w:val="ab"/>
    <w:qFormat/>
    <w:pPr>
      <w:ind w:leftChars="2500" w:left="100"/>
    </w:pPr>
  </w:style>
  <w:style w:type="paragraph" w:styleId="21">
    <w:name w:val="Body Text Indent 2"/>
    <w:basedOn w:val="a"/>
    <w:link w:val="22"/>
    <w:qFormat/>
    <w:pPr>
      <w:spacing w:after="120" w:line="480" w:lineRule="auto"/>
      <w:ind w:leftChars="200" w:left="420"/>
    </w:pPr>
  </w:style>
  <w:style w:type="paragraph" w:styleId="ac">
    <w:name w:val="Balloon Text"/>
    <w:basedOn w:val="a"/>
    <w:link w:val="ad"/>
    <w:qFormat/>
    <w:rPr>
      <w:rFonts w:asciiTheme="minorHAnsi" w:eastAsiaTheme="minorEastAsia" w:hAnsiTheme="minorHAnsi" w:cs="宋体"/>
      <w:sz w:val="18"/>
      <w:szCs w:val="18"/>
    </w:rPr>
  </w:style>
  <w:style w:type="paragraph" w:styleId="ae">
    <w:name w:val="footer"/>
    <w:basedOn w:val="a"/>
    <w:link w:val="af"/>
    <w:uiPriority w:val="99"/>
    <w:unhideWhenUsed/>
    <w:qFormat/>
    <w:pPr>
      <w:tabs>
        <w:tab w:val="center" w:pos="4153"/>
        <w:tab w:val="right" w:pos="8306"/>
      </w:tabs>
      <w:snapToGrid w:val="0"/>
      <w:jc w:val="left"/>
    </w:pPr>
    <w:rPr>
      <w:sz w:val="18"/>
      <w:szCs w:val="18"/>
    </w:rPr>
  </w:style>
  <w:style w:type="paragraph" w:styleId="af0">
    <w:name w:val="header"/>
    <w:basedOn w:val="a"/>
    <w:link w:val="af1"/>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spacing w:after="120"/>
      <w:ind w:leftChars="200" w:left="420"/>
    </w:pPr>
    <w:rPr>
      <w:sz w:val="16"/>
      <w:szCs w:val="16"/>
    </w:rPr>
  </w:style>
  <w:style w:type="paragraph" w:styleId="af2">
    <w:name w:val="Normal (Web)"/>
    <w:basedOn w:val="a"/>
    <w:uiPriority w:val="99"/>
    <w:qFormat/>
    <w:pPr>
      <w:widowControl/>
      <w:spacing w:before="100" w:beforeAutospacing="1" w:after="100" w:afterAutospacing="1"/>
      <w:jc w:val="left"/>
    </w:pPr>
    <w:rPr>
      <w:rFonts w:ascii="宋体" w:hAnsi="宋体" w:cs="宋体"/>
      <w:kern w:val="0"/>
      <w:sz w:val="18"/>
      <w:szCs w:val="18"/>
    </w:rPr>
  </w:style>
  <w:style w:type="table" w:styleId="af3">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line number"/>
    <w:qFormat/>
  </w:style>
  <w:style w:type="character" w:customStyle="1" w:styleId="20">
    <w:name w:val="标题 2 字符"/>
    <w:basedOn w:val="a0"/>
    <w:link w:val="2"/>
    <w:uiPriority w:val="9"/>
    <w:qFormat/>
    <w:rPr>
      <w:rFonts w:ascii="宋体" w:eastAsia="宋体" w:hAnsi="宋体" w:cs="Times New Roman"/>
      <w:b/>
      <w:bCs/>
      <w:kern w:val="0"/>
      <w:sz w:val="36"/>
      <w:szCs w:val="36"/>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f1">
    <w:name w:val="页眉 字符"/>
    <w:basedOn w:val="a0"/>
    <w:link w:val="af0"/>
    <w:qFormat/>
    <w:rPr>
      <w:sz w:val="18"/>
      <w:szCs w:val="18"/>
    </w:rPr>
  </w:style>
  <w:style w:type="character" w:customStyle="1" w:styleId="af">
    <w:name w:val="页脚 字符"/>
    <w:basedOn w:val="a0"/>
    <w:link w:val="ae"/>
    <w:uiPriority w:val="99"/>
    <w:qFormat/>
    <w:rPr>
      <w:sz w:val="18"/>
      <w:szCs w:val="18"/>
    </w:rPr>
  </w:style>
  <w:style w:type="character" w:customStyle="1" w:styleId="a5">
    <w:name w:val="正文文本 字符"/>
    <w:basedOn w:val="a0"/>
    <w:link w:val="a4"/>
    <w:qFormat/>
    <w:rPr>
      <w:rFonts w:ascii="Times New Roman" w:eastAsia="宋体" w:hAnsi="Times New Roman" w:cs="Times New Roman"/>
      <w:szCs w:val="24"/>
    </w:rPr>
  </w:style>
  <w:style w:type="character" w:customStyle="1" w:styleId="a7">
    <w:name w:val="正文文本缩进 字符"/>
    <w:basedOn w:val="a0"/>
    <w:link w:val="a6"/>
    <w:qFormat/>
    <w:rPr>
      <w:rFonts w:ascii="Calibri" w:eastAsia="宋体" w:hAnsi="Calibri" w:cs="Times New Roman"/>
      <w:sz w:val="18"/>
      <w:szCs w:val="18"/>
    </w:rPr>
  </w:style>
  <w:style w:type="character" w:customStyle="1" w:styleId="ab">
    <w:name w:val="日期 字符"/>
    <w:basedOn w:val="a0"/>
    <w:link w:val="aa"/>
    <w:qFormat/>
    <w:rPr>
      <w:rFonts w:ascii="Times New Roman" w:eastAsia="宋体" w:hAnsi="Times New Roman" w:cs="Times New Roman"/>
      <w:szCs w:val="24"/>
    </w:rPr>
  </w:style>
  <w:style w:type="character" w:customStyle="1" w:styleId="22">
    <w:name w:val="正文文本缩进 2 字符"/>
    <w:basedOn w:val="a0"/>
    <w:link w:val="21"/>
    <w:qFormat/>
    <w:rPr>
      <w:rFonts w:ascii="Times New Roman" w:eastAsia="宋体" w:hAnsi="Times New Roman" w:cs="Times New Roman"/>
      <w:szCs w:val="24"/>
    </w:rPr>
  </w:style>
  <w:style w:type="character" w:customStyle="1" w:styleId="30">
    <w:name w:val="正文文本缩进 3 字符"/>
    <w:basedOn w:val="a0"/>
    <w:link w:val="3"/>
    <w:qFormat/>
    <w:rPr>
      <w:rFonts w:ascii="Times New Roman" w:eastAsia="宋体" w:hAnsi="Times New Roman" w:cs="Times New Roman"/>
      <w:sz w:val="16"/>
      <w:szCs w:val="16"/>
    </w:rPr>
  </w:style>
  <w:style w:type="paragraph" w:customStyle="1" w:styleId="p0">
    <w:name w:val="p0"/>
    <w:basedOn w:val="a"/>
    <w:qFormat/>
    <w:pPr>
      <w:widowControl/>
    </w:pPr>
    <w:rPr>
      <w:kern w:val="0"/>
      <w:szCs w:val="21"/>
    </w:rPr>
  </w:style>
  <w:style w:type="paragraph" w:styleId="af6">
    <w:name w:val="List Paragraph"/>
    <w:basedOn w:val="a"/>
    <w:uiPriority w:val="34"/>
    <w:qFormat/>
    <w:pPr>
      <w:ind w:firstLineChars="200" w:firstLine="420"/>
    </w:pPr>
  </w:style>
  <w:style w:type="paragraph" w:customStyle="1" w:styleId="p15">
    <w:name w:val="p15"/>
    <w:basedOn w:val="a"/>
    <w:qFormat/>
    <w:pPr>
      <w:widowControl/>
      <w:ind w:firstLine="420"/>
    </w:pPr>
    <w:rPr>
      <w:kern w:val="0"/>
      <w:szCs w:val="21"/>
    </w:rPr>
  </w:style>
  <w:style w:type="paragraph" w:customStyle="1" w:styleId="11">
    <w:name w:val="列出段落1"/>
    <w:basedOn w:val="a"/>
    <w:qFormat/>
    <w:pPr>
      <w:ind w:left="720"/>
    </w:pPr>
    <w:rPr>
      <w:rFonts w:ascii="Calibri" w:hAnsi="Calibri"/>
      <w:szCs w:val="22"/>
    </w:rPr>
  </w:style>
  <w:style w:type="character" w:customStyle="1" w:styleId="UserStyle8">
    <w:name w:val="UserStyle_8"/>
    <w:link w:val="UserStyle9"/>
    <w:qFormat/>
    <w:locked/>
  </w:style>
  <w:style w:type="paragraph" w:customStyle="1" w:styleId="UserStyle9">
    <w:name w:val="UserStyle_9"/>
    <w:basedOn w:val="a"/>
    <w:link w:val="UserStyle8"/>
    <w:qFormat/>
    <w:rPr>
      <w:rFonts w:asciiTheme="minorHAnsi" w:eastAsiaTheme="minorEastAsia" w:hAnsiTheme="minorHAnsi" w:cstheme="minorBidi"/>
      <w:szCs w:val="22"/>
    </w:rPr>
  </w:style>
  <w:style w:type="character" w:customStyle="1" w:styleId="fontstyle11">
    <w:name w:val="fontstyle11"/>
    <w:qFormat/>
    <w:rPr>
      <w:rFonts w:ascii="仿宋_GB2312" w:eastAsia="仿宋_GB2312" w:hint="eastAsia"/>
      <w:color w:val="000000"/>
      <w:sz w:val="32"/>
      <w:szCs w:val="32"/>
    </w:rPr>
  </w:style>
  <w:style w:type="character" w:customStyle="1" w:styleId="fontstyle01">
    <w:name w:val="fontstyle01"/>
    <w:qFormat/>
    <w:rPr>
      <w:rFonts w:ascii="仿宋" w:eastAsia="仿宋" w:hAnsi="仿宋" w:hint="eastAsia"/>
      <w:color w:val="000000"/>
      <w:sz w:val="32"/>
      <w:szCs w:val="32"/>
    </w:rPr>
  </w:style>
  <w:style w:type="paragraph" w:customStyle="1" w:styleId="Bodytext1">
    <w:name w:val="Body text|1"/>
    <w:basedOn w:val="a"/>
    <w:qFormat/>
    <w:pPr>
      <w:spacing w:line="439" w:lineRule="auto"/>
      <w:ind w:firstLine="400"/>
    </w:pPr>
    <w:rPr>
      <w:rFonts w:ascii="宋体" w:hAnsi="宋体" w:cs="宋体"/>
      <w:sz w:val="30"/>
      <w:szCs w:val="30"/>
      <w:lang w:val="zh-TW" w:eastAsia="zh-TW" w:bidi="zh-TW"/>
    </w:rPr>
  </w:style>
  <w:style w:type="character" w:customStyle="1" w:styleId="a9">
    <w:name w:val="纯文本 字符"/>
    <w:basedOn w:val="a0"/>
    <w:link w:val="a8"/>
    <w:qFormat/>
    <w:rPr>
      <w:rFonts w:ascii="宋体" w:eastAsia="仿宋_GB2312" w:hAnsi="Courier New" w:cs="Times New Roman"/>
      <w:sz w:val="32"/>
      <w:szCs w:val="21"/>
    </w:rPr>
  </w:style>
  <w:style w:type="character" w:customStyle="1" w:styleId="ad">
    <w:name w:val="批注框文本 字符"/>
    <w:link w:val="ac"/>
    <w:qFormat/>
    <w:rPr>
      <w:rFonts w:cs="宋体"/>
      <w:sz w:val="18"/>
      <w:szCs w:val="18"/>
    </w:rPr>
  </w:style>
  <w:style w:type="character" w:customStyle="1" w:styleId="Char1">
    <w:name w:val="批注框文本 Char1"/>
    <w:basedOn w:val="a0"/>
    <w:uiPriority w:val="99"/>
    <w:semiHidden/>
    <w:qFormat/>
    <w:rPr>
      <w:rFonts w:ascii="Times New Roman" w:eastAsia="宋体" w:hAnsi="Times New Roman" w:cs="Times New Roman"/>
      <w:sz w:val="18"/>
      <w:szCs w:val="18"/>
    </w:rPr>
  </w:style>
  <w:style w:type="character" w:customStyle="1" w:styleId="fontstyle21">
    <w:name w:val="fontstyle21"/>
    <w:qFormat/>
    <w:rPr>
      <w:rFonts w:ascii="仿宋_GB2312" w:eastAsia="仿宋_GB2312" w:hint="eastAsia"/>
      <w:color w:val="000000"/>
      <w:sz w:val="32"/>
      <w:szCs w:val="32"/>
    </w:rPr>
  </w:style>
  <w:style w:type="table" w:customStyle="1" w:styleId="TableGrid">
    <w:name w:val="TableGrid"/>
    <w:qFormat/>
    <w:rPr>
      <w:kern w:val="2"/>
      <w:sz w:val="21"/>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C4B65362-DCE3-45AA-A8CE-5ACC42E9C9D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487</Words>
  <Characters>2780</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79</cp:revision>
  <cp:lastPrinted>2023-09-27T01:02:00Z</cp:lastPrinted>
  <dcterms:created xsi:type="dcterms:W3CDTF">2023-02-02T03:06:00Z</dcterms:created>
  <dcterms:modified xsi:type="dcterms:W3CDTF">2023-10-10T08:43:00Z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536489317562491E80DEA873F87AE217</vt:lpwstr>
  </property>
</Properties>
</file>