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vertAnchor="text" w:horzAnchor="page" w:tblpX="713" w:tblpY="248"/>
        <w:tblOverlap w:val="never"/>
        <w:tblW w:w="10863" w:type="dxa"/>
        <w:tblInd w:w="0" w:type="dxa"/>
        <w:tblBorders>
          <w:top w:val="none" w:color="auto" w:sz="0" w:space="0"/>
          <w:left w:val="none" w:color="auto" w:sz="0" w:space="0"/>
          <w:bottom w:val="single" w:color="FF0000" w:sz="2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63"/>
      </w:tblGrid>
      <w:tr>
        <w:tblPrEx>
          <w:tblBorders>
            <w:top w:val="none" w:color="auto" w:sz="0" w:space="0"/>
            <w:left w:val="none" w:color="auto" w:sz="0" w:space="0"/>
            <w:bottom w:val="single" w:color="FF0000" w:sz="2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1" w:hRule="atLeast"/>
        </w:trPr>
        <w:tc>
          <w:tcPr>
            <w:tcW w:w="10863" w:type="dxa"/>
            <w:tcBorders>
              <w:top w:val="nil"/>
              <w:left w:val="nil"/>
              <w:right w:val="nil"/>
            </w:tcBorders>
            <w:vAlign w:val="center"/>
          </w:tcPr>
          <w:p>
            <w:pPr>
              <w:widowControl w:val="0"/>
              <w:adjustRightInd w:val="0"/>
              <w:snapToGrid w:val="0"/>
              <w:spacing w:line="360" w:lineRule="auto"/>
              <w:jc w:val="both"/>
              <w:rPr>
                <w:rFonts w:ascii="方正仿宋_GB2312" w:hAnsi="宋体" w:eastAsia="方正仿宋_GB2312"/>
                <w:color w:val="FF0000"/>
                <w:spacing w:val="-10"/>
                <w:kern w:val="2"/>
                <w:sz w:val="72"/>
                <w:szCs w:val="72"/>
              </w:rPr>
            </w:pPr>
            <w:r>
              <w:rPr>
                <w:rFonts w:hint="eastAsia" w:ascii="方正仿宋_GB2312" w:hAnsi="宋体" w:eastAsia="方正仿宋_GB2312"/>
                <w:color w:val="FF0000"/>
                <w:spacing w:val="-10"/>
                <w:kern w:val="2"/>
                <w:sz w:val="72"/>
                <w:szCs w:val="72"/>
              </w:rPr>
              <w:t>北京青年政治学院招生就业处文件</w:t>
            </w:r>
          </w:p>
        </w:tc>
      </w:tr>
      <w:tr>
        <w:tblPrEx>
          <w:tblBorders>
            <w:top w:val="none" w:color="auto" w:sz="0" w:space="0"/>
            <w:left w:val="none" w:color="auto" w:sz="0" w:space="0"/>
            <w:bottom w:val="single" w:color="FF0000" w:sz="24" w:space="0"/>
            <w:right w:val="none" w:color="auto" w:sz="0" w:space="0"/>
            <w:insideH w:val="none" w:color="auto" w:sz="0" w:space="0"/>
            <w:insideV w:val="none" w:color="auto" w:sz="0" w:space="0"/>
          </w:tblBorders>
          <w:tblCellMar>
            <w:top w:w="0" w:type="dxa"/>
            <w:left w:w="108" w:type="dxa"/>
            <w:bottom w:w="0" w:type="dxa"/>
            <w:right w:w="108" w:type="dxa"/>
          </w:tblCellMar>
        </w:tblPrEx>
        <w:tc>
          <w:tcPr>
            <w:tcW w:w="10863" w:type="dxa"/>
            <w:tcBorders>
              <w:top w:val="nil"/>
              <w:left w:val="nil"/>
              <w:bottom w:val="single" w:color="FF0000" w:sz="24" w:space="0"/>
              <w:right w:val="nil"/>
            </w:tcBorders>
            <w:vAlign w:val="center"/>
          </w:tcPr>
          <w:p>
            <w:pPr>
              <w:widowControl w:val="0"/>
              <w:adjustRightInd w:val="0"/>
              <w:snapToGrid w:val="0"/>
              <w:spacing w:line="560" w:lineRule="exact"/>
              <w:jc w:val="center"/>
              <w:rPr>
                <w:rFonts w:ascii="仿宋_GB2312" w:hAnsi="宋体" w:eastAsia="仿宋_GB2312"/>
                <w:color w:val="000000"/>
                <w:kern w:val="2"/>
                <w:sz w:val="32"/>
                <w:szCs w:val="32"/>
              </w:rPr>
            </w:pPr>
            <w:r>
              <w:rPr>
                <w:rFonts w:hint="eastAsia" w:ascii="仿宋" w:hAnsi="仿宋" w:eastAsia="仿宋"/>
                <w:kern w:val="2"/>
                <w:sz w:val="32"/>
                <w:szCs w:val="32"/>
              </w:rPr>
              <w:t>院招就发〔2024</w:t>
            </w:r>
            <w:r>
              <w:rPr>
                <w:rFonts w:ascii="仿宋" w:hAnsi="仿宋" w:eastAsia="仿宋"/>
                <w:kern w:val="2"/>
                <w:sz w:val="32"/>
                <w:szCs w:val="32"/>
              </w:rPr>
              <w:t>〕</w:t>
            </w:r>
            <w:r>
              <w:rPr>
                <w:rFonts w:hint="eastAsia" w:ascii="仿宋" w:hAnsi="仿宋" w:eastAsia="仿宋"/>
                <w:kern w:val="2"/>
                <w:sz w:val="32"/>
                <w:szCs w:val="32"/>
                <w:lang w:val="en-US" w:eastAsia="zh-CN"/>
              </w:rPr>
              <w:t>7</w:t>
            </w:r>
            <w:bookmarkStart w:id="0" w:name="_GoBack"/>
            <w:bookmarkEnd w:id="0"/>
            <w:r>
              <w:rPr>
                <w:rFonts w:hint="eastAsia" w:ascii="仿宋" w:hAnsi="仿宋" w:eastAsia="仿宋"/>
                <w:kern w:val="2"/>
                <w:sz w:val="32"/>
                <w:szCs w:val="32"/>
              </w:rPr>
              <w:t>号</w:t>
            </w:r>
          </w:p>
        </w:tc>
      </w:tr>
    </w:tbl>
    <w:p>
      <w:pPr>
        <w:adjustRightInd w:val="0"/>
        <w:snapToGrid w:val="0"/>
        <w:spacing w:line="560" w:lineRule="exact"/>
        <w:jc w:val="center"/>
        <w:rPr>
          <w:rFonts w:hint="eastAsia" w:ascii="方正小标宋简体" w:eastAsia="方正小标宋简体"/>
          <w:sz w:val="44"/>
          <w:szCs w:val="44"/>
        </w:rPr>
      </w:pPr>
    </w:p>
    <w:p>
      <w:pPr>
        <w:adjustRightInd w:val="0"/>
        <w:snapToGrid w:val="0"/>
        <w:spacing w:line="560" w:lineRule="exact"/>
        <w:jc w:val="center"/>
        <w:rPr>
          <w:rFonts w:ascii="方正小标宋简体" w:eastAsia="方正小标宋简体"/>
          <w:sz w:val="44"/>
          <w:szCs w:val="44"/>
        </w:rPr>
      </w:pPr>
      <w:r>
        <w:rPr>
          <w:rFonts w:hint="eastAsia" w:ascii="方正小标宋简体" w:eastAsia="方正小标宋简体"/>
          <w:sz w:val="44"/>
          <w:szCs w:val="44"/>
        </w:rPr>
        <w:t>北京青年政治学院第九届创新创业大赛</w:t>
      </w:r>
    </w:p>
    <w:p>
      <w:pPr>
        <w:adjustRightInd w:val="0"/>
        <w:snapToGrid w:val="0"/>
        <w:spacing w:line="560" w:lineRule="exact"/>
        <w:ind w:firstLine="440" w:firstLineChars="100"/>
        <w:jc w:val="center"/>
      </w:pPr>
      <w:r>
        <w:rPr>
          <w:rFonts w:hint="eastAsia" w:ascii="方正小标宋简体" w:eastAsia="方正小标宋简体"/>
          <w:sz w:val="44"/>
          <w:szCs w:val="44"/>
        </w:rPr>
        <w:t>校赛决赛方案</w:t>
      </w:r>
    </w:p>
    <w:p>
      <w:pPr>
        <w:adjustRightInd w:val="0"/>
        <w:snapToGrid w:val="0"/>
        <w:spacing w:line="560" w:lineRule="exact"/>
        <w:ind w:firstLine="640" w:firstLineChars="200"/>
        <w:rPr>
          <w:rFonts w:ascii="仿宋_GB2312"/>
          <w:szCs w:val="32"/>
        </w:rPr>
      </w:pPr>
    </w:p>
    <w:p>
      <w:pPr>
        <w:adjustRightInd w:val="0"/>
        <w:snapToGrid w:val="0"/>
        <w:spacing w:line="560" w:lineRule="exact"/>
        <w:ind w:firstLine="640" w:firstLineChars="200"/>
        <w:rPr>
          <w:rFonts w:ascii="仿宋_GB2312"/>
          <w:szCs w:val="32"/>
        </w:rPr>
      </w:pPr>
      <w:r>
        <w:rPr>
          <w:rFonts w:hint="eastAsia" w:ascii="仿宋_GB2312"/>
          <w:szCs w:val="32"/>
        </w:rPr>
        <w:t>为贯彻习近平新时代中国特色社会主义思想和党的二十大精神，落实《教育部关于做好2024届全国普通高校毕业生就业创业工作的通知》，培养造就“大众创业、万众创新”生力军，增强我院学生创新创业意识，提升创新创业能力，做好中国国际大学生创新大赛、团中央“挑战杯”竞赛、 “京彩大创”北京大学生创新创业大赛等比赛的校内创业团队孵化培养，学院将开展第九届创新创业校内决赛。现将有关事项通知如下：</w:t>
      </w:r>
    </w:p>
    <w:p>
      <w:pPr>
        <w:spacing w:line="560" w:lineRule="exact"/>
        <w:ind w:firstLine="640" w:firstLineChars="200"/>
        <w:rPr>
          <w:rFonts w:hint="eastAsia" w:ascii="仿宋_GB2312"/>
          <w:szCs w:val="32"/>
        </w:rPr>
      </w:pPr>
      <w:r>
        <w:rPr>
          <w:rFonts w:hint="eastAsia" w:ascii="黑体" w:hAnsi="黑体" w:eastAsia="黑体"/>
          <w:szCs w:val="32"/>
        </w:rPr>
        <w:t>一、参赛对象</w:t>
      </w:r>
    </w:p>
    <w:p>
      <w:pPr>
        <w:spacing w:line="560" w:lineRule="exact"/>
        <w:ind w:firstLine="640" w:firstLineChars="200"/>
        <w:rPr>
          <w:rFonts w:ascii="仿宋_GB2312"/>
          <w:szCs w:val="32"/>
        </w:rPr>
      </w:pPr>
      <w:r>
        <w:rPr>
          <w:rFonts w:ascii="仿宋_GB2312"/>
          <w:szCs w:val="32"/>
        </w:rPr>
        <w:t>校赛决赛</w:t>
      </w:r>
      <w:r>
        <w:rPr>
          <w:rFonts w:hint="eastAsia" w:ascii="仿宋_GB2312"/>
          <w:szCs w:val="32"/>
        </w:rPr>
        <w:t>参赛对象为提交完整参赛资料并通过校赛初审的项目团队，其中青年红色之旅赛道和职教赛道初审为总体排名前</w:t>
      </w:r>
      <w:r>
        <w:rPr>
          <w:rFonts w:ascii="仿宋_GB2312"/>
          <w:szCs w:val="32"/>
        </w:rPr>
        <w:t>15</w:t>
      </w:r>
      <w:r>
        <w:rPr>
          <w:rFonts w:hint="eastAsia" w:ascii="仿宋_GB2312"/>
          <w:szCs w:val="32"/>
        </w:rPr>
        <w:t>的团队推荐参加校级决赛，北青小屋赛道为单独赛道，初审排名前五的推荐参加校级决赛。入围决赛详细名单请见附件1。</w:t>
      </w:r>
    </w:p>
    <w:p>
      <w:pPr>
        <w:spacing w:line="560" w:lineRule="exact"/>
        <w:ind w:firstLine="640" w:firstLineChars="200"/>
        <w:rPr>
          <w:rFonts w:ascii="仿宋_GB2312"/>
          <w:szCs w:val="32"/>
          <w:highlight w:val="yellow"/>
        </w:rPr>
      </w:pPr>
      <w:r>
        <w:rPr>
          <w:rFonts w:hint="eastAsia" w:ascii="黑体" w:hAnsi="黑体" w:eastAsia="黑体"/>
          <w:szCs w:val="32"/>
        </w:rPr>
        <w:t>二、校赛时间及地点</w:t>
      </w:r>
    </w:p>
    <w:p>
      <w:pPr>
        <w:spacing w:line="560" w:lineRule="exact"/>
        <w:ind w:firstLine="640" w:firstLineChars="200"/>
        <w:rPr>
          <w:rFonts w:ascii="仿宋_GB2312"/>
          <w:szCs w:val="32"/>
        </w:rPr>
      </w:pPr>
      <w:r>
        <w:rPr>
          <w:rFonts w:hint="eastAsia" w:ascii="仿宋_GB2312"/>
          <w:szCs w:val="32"/>
        </w:rPr>
        <w:t>时间：2024年5月31日13：30-15：30</w:t>
      </w:r>
    </w:p>
    <w:p>
      <w:pPr>
        <w:spacing w:line="560" w:lineRule="exact"/>
        <w:ind w:firstLine="640" w:firstLineChars="200"/>
        <w:rPr>
          <w:rFonts w:ascii="仿宋_GB2312"/>
          <w:szCs w:val="32"/>
          <w:highlight w:val="yellow"/>
        </w:rPr>
      </w:pPr>
      <w:r>
        <w:rPr>
          <w:rFonts w:hint="eastAsia" w:ascii="仿宋_GB2312"/>
          <w:szCs w:val="32"/>
        </w:rPr>
        <w:t>地点：六报</w:t>
      </w:r>
    </w:p>
    <w:p>
      <w:pPr>
        <w:spacing w:line="560" w:lineRule="exact"/>
        <w:ind w:firstLine="640" w:firstLineChars="200"/>
        <w:rPr>
          <w:rFonts w:ascii="仿宋_GB2312"/>
          <w:szCs w:val="32"/>
        </w:rPr>
      </w:pPr>
      <w:r>
        <w:rPr>
          <w:rFonts w:hint="eastAsia" w:ascii="黑体" w:hAnsi="黑体" w:eastAsia="黑体"/>
          <w:szCs w:val="32"/>
        </w:rPr>
        <w:t>三、校赛决赛评审实施</w:t>
      </w:r>
    </w:p>
    <w:p>
      <w:pPr>
        <w:spacing w:line="560" w:lineRule="exact"/>
        <w:ind w:firstLine="640" w:firstLineChars="200"/>
        <w:rPr>
          <w:rFonts w:ascii="仿宋_GB2312"/>
          <w:szCs w:val="32"/>
        </w:rPr>
      </w:pPr>
      <w:r>
        <w:rPr>
          <w:rFonts w:hint="eastAsia" w:ascii="仿宋_GB2312"/>
          <w:szCs w:val="32"/>
        </w:rPr>
        <w:t>（一）比赛方式</w:t>
      </w:r>
    </w:p>
    <w:p>
      <w:pPr>
        <w:spacing w:line="560" w:lineRule="exact"/>
        <w:ind w:firstLine="640" w:firstLineChars="200"/>
        <w:rPr>
          <w:rFonts w:ascii="仿宋_GB2312"/>
          <w:szCs w:val="32"/>
          <w:highlight w:val="yellow"/>
        </w:rPr>
      </w:pPr>
      <w:r>
        <w:rPr>
          <w:rFonts w:hint="eastAsia" w:ascii="仿宋_GB2312"/>
          <w:szCs w:val="32"/>
        </w:rPr>
        <w:t>答辩方式：本次决赛以线下路演方式进行，路演顺序由抽签进行决定，抽签时间另行通知，每支团队按路演顺序依次进行路演。路演模式：“5+3”，即项目陈述5分钟+评委提问3分钟，陈述时会有工作人员在第4分钟和第5分钟分别示意。</w:t>
      </w:r>
    </w:p>
    <w:p>
      <w:pPr>
        <w:spacing w:line="560" w:lineRule="exact"/>
        <w:ind w:firstLine="640" w:firstLineChars="200"/>
        <w:rPr>
          <w:rFonts w:ascii="仿宋_GB2312"/>
          <w:szCs w:val="32"/>
        </w:rPr>
      </w:pPr>
      <w:r>
        <w:rPr>
          <w:rFonts w:hint="eastAsia" w:ascii="仿宋_GB2312"/>
          <w:szCs w:val="32"/>
        </w:rPr>
        <w:t>（二）比赛规则</w:t>
      </w:r>
    </w:p>
    <w:p>
      <w:pPr>
        <w:spacing w:line="560" w:lineRule="exact"/>
        <w:ind w:firstLine="640" w:firstLineChars="200"/>
        <w:rPr>
          <w:rFonts w:ascii="仿宋_GB2312"/>
          <w:szCs w:val="32"/>
          <w:highlight w:val="yellow"/>
        </w:rPr>
      </w:pPr>
      <w:r>
        <w:rPr>
          <w:rFonts w:hint="eastAsia" w:ascii="仿宋_GB2312"/>
          <w:szCs w:val="32"/>
        </w:rPr>
        <w:t>1.比赛材料：调查报告/论文+路演ppt+路演稿。</w:t>
      </w:r>
    </w:p>
    <w:p>
      <w:pPr>
        <w:adjustRightInd w:val="0"/>
        <w:snapToGrid w:val="0"/>
        <w:spacing w:line="560" w:lineRule="exact"/>
        <w:ind w:firstLine="640" w:firstLineChars="200"/>
        <w:rPr>
          <w:rFonts w:ascii="仿宋_GB2312"/>
          <w:szCs w:val="32"/>
        </w:rPr>
      </w:pPr>
      <w:r>
        <w:rPr>
          <w:rFonts w:hint="eastAsia" w:ascii="仿宋_GB2312"/>
          <w:szCs w:val="32"/>
        </w:rPr>
        <w:t>2</w:t>
      </w:r>
      <w:r>
        <w:rPr>
          <w:rFonts w:ascii="仿宋_GB2312"/>
          <w:szCs w:val="32"/>
        </w:rPr>
        <w:t>.</w:t>
      </w:r>
      <w:r>
        <w:rPr>
          <w:rFonts w:hint="eastAsia" w:ascii="仿宋_GB2312"/>
          <w:szCs w:val="32"/>
        </w:rPr>
        <w:t>路演人数：项目路演人1人；参会队员最多5人（含路演人）。</w:t>
      </w:r>
    </w:p>
    <w:p>
      <w:pPr>
        <w:tabs>
          <w:tab w:val="left" w:pos="5565"/>
        </w:tabs>
        <w:adjustRightInd w:val="0"/>
        <w:snapToGrid w:val="0"/>
        <w:spacing w:line="560" w:lineRule="exact"/>
        <w:ind w:firstLine="640" w:firstLineChars="200"/>
      </w:pPr>
      <w:r>
        <w:rPr>
          <w:rFonts w:hint="eastAsia" w:ascii="仿宋_GB2312"/>
          <w:szCs w:val="32"/>
        </w:rPr>
        <w:t>3.比赛评委：校赛评委由3位校外专家和校内老师构成。</w:t>
      </w:r>
    </w:p>
    <w:p>
      <w:pPr>
        <w:adjustRightInd w:val="0"/>
        <w:snapToGrid w:val="0"/>
        <w:spacing w:line="560" w:lineRule="exact"/>
        <w:ind w:firstLine="640" w:firstLineChars="200"/>
        <w:rPr>
          <w:rFonts w:asciiTheme="minorEastAsia" w:hAnsiTheme="minorEastAsia"/>
          <w:sz w:val="24"/>
          <w:szCs w:val="28"/>
        </w:rPr>
      </w:pPr>
      <w:r>
        <w:rPr>
          <w:rFonts w:hint="eastAsia" w:ascii="仿宋_GB2312"/>
          <w:szCs w:val="32"/>
        </w:rPr>
        <w:t>4.相关要求：所有项目主讲人须着装整齐，站姿规范。</w:t>
      </w:r>
    </w:p>
    <w:p>
      <w:pPr>
        <w:ind w:firstLine="640" w:firstLineChars="200"/>
        <w:rPr>
          <w:rFonts w:ascii="仿宋_GB2312"/>
          <w:szCs w:val="32"/>
        </w:rPr>
      </w:pPr>
      <w:r>
        <w:rPr>
          <w:rFonts w:hint="eastAsia" w:ascii="仿宋_GB2312"/>
          <w:szCs w:val="32"/>
        </w:rPr>
        <w:t>（</w:t>
      </w:r>
      <w:r>
        <w:rPr>
          <w:rFonts w:ascii="仿宋_GB2312"/>
          <w:szCs w:val="32"/>
        </w:rPr>
        <w:t>三</w:t>
      </w:r>
      <w:r>
        <w:rPr>
          <w:rFonts w:hint="eastAsia" w:ascii="仿宋_GB2312"/>
          <w:szCs w:val="32"/>
        </w:rPr>
        <w:t>）注意事项</w:t>
      </w:r>
    </w:p>
    <w:p>
      <w:pPr>
        <w:ind w:firstLine="640" w:firstLineChars="200"/>
        <w:rPr>
          <w:rFonts w:ascii="仿宋_GB2312"/>
          <w:szCs w:val="32"/>
        </w:rPr>
      </w:pPr>
      <w:r>
        <w:rPr>
          <w:rFonts w:hint="eastAsia" w:ascii="仿宋_GB2312"/>
          <w:szCs w:val="32"/>
        </w:rPr>
        <w:t>1.所有参赛选手必须提前30分钟进入指定地点等候</w:t>
      </w:r>
    </w:p>
    <w:p>
      <w:pPr>
        <w:ind w:firstLine="640" w:firstLineChars="200"/>
        <w:rPr>
          <w:rFonts w:ascii="仿宋_GB2312"/>
          <w:szCs w:val="32"/>
        </w:rPr>
      </w:pPr>
      <w:r>
        <w:rPr>
          <w:rFonts w:hint="eastAsia" w:ascii="仿宋_GB2312"/>
          <w:szCs w:val="32"/>
        </w:rPr>
        <w:t>2</w:t>
      </w:r>
      <w:r>
        <w:rPr>
          <w:rFonts w:ascii="仿宋_GB2312"/>
          <w:szCs w:val="32"/>
        </w:rPr>
        <w:t>.</w:t>
      </w:r>
      <w:r>
        <w:rPr>
          <w:rFonts w:hint="eastAsia" w:ascii="仿宋_GB2312"/>
          <w:szCs w:val="32"/>
        </w:rPr>
        <w:t>请提前关闭手机及电脑等相关设备的提示音。</w:t>
      </w:r>
    </w:p>
    <w:p>
      <w:pPr>
        <w:ind w:firstLine="640" w:firstLineChars="200"/>
        <w:rPr>
          <w:rFonts w:ascii="仿宋_GB2312"/>
          <w:szCs w:val="32"/>
        </w:rPr>
      </w:pPr>
      <w:r>
        <w:rPr>
          <w:rFonts w:hint="eastAsia" w:ascii="仿宋_GB2312"/>
          <w:szCs w:val="32"/>
        </w:rPr>
        <w:t>3.所有成员不得擅自录制本次大赛视频，如因录制视频及截图流出导致侵犯他人权利，自行承担责任。</w:t>
      </w:r>
    </w:p>
    <w:p>
      <w:pPr>
        <w:ind w:firstLine="640" w:firstLineChars="200"/>
        <w:rPr>
          <w:rFonts w:ascii="仿宋_GB2312"/>
          <w:szCs w:val="32"/>
        </w:rPr>
      </w:pPr>
      <w:r>
        <w:rPr>
          <w:rFonts w:ascii="仿宋_GB2312"/>
          <w:szCs w:val="32"/>
        </w:rPr>
        <w:t>4.</w:t>
      </w:r>
      <w:r>
        <w:rPr>
          <w:rFonts w:hint="eastAsia" w:ascii="仿宋_GB2312"/>
          <w:szCs w:val="32"/>
        </w:rPr>
        <w:t>所有参赛作品的策划方案均以在邮箱、京彩大创平台报送材料为准</w:t>
      </w:r>
    </w:p>
    <w:p>
      <w:pPr>
        <w:ind w:firstLine="640" w:firstLineChars="200"/>
        <w:rPr>
          <w:rFonts w:ascii="仿宋_GB2312"/>
          <w:szCs w:val="32"/>
        </w:rPr>
      </w:pPr>
      <w:r>
        <w:rPr>
          <w:rFonts w:ascii="仿宋_GB2312"/>
          <w:szCs w:val="32"/>
        </w:rPr>
        <w:t>（四）请</w:t>
      </w:r>
      <w:r>
        <w:rPr>
          <w:rFonts w:hint="eastAsia" w:ascii="仿宋_GB2312"/>
          <w:szCs w:val="32"/>
        </w:rPr>
        <w:t>各</w:t>
      </w:r>
      <w:r>
        <w:rPr>
          <w:rFonts w:ascii="仿宋_GB2312"/>
          <w:szCs w:val="32"/>
        </w:rPr>
        <w:t>赛道的参赛团队负责人于</w:t>
      </w:r>
      <w:r>
        <w:rPr>
          <w:rFonts w:hint="eastAsia" w:ascii="仿宋_GB2312"/>
          <w:szCs w:val="32"/>
        </w:rPr>
        <w:t>5月2</w:t>
      </w:r>
      <w:r>
        <w:rPr>
          <w:rFonts w:ascii="仿宋_GB2312"/>
          <w:szCs w:val="32"/>
        </w:rPr>
        <w:t>8日中午</w:t>
      </w:r>
      <w:r>
        <w:rPr>
          <w:rFonts w:hint="eastAsia" w:ascii="仿宋_GB2312"/>
          <w:szCs w:val="32"/>
        </w:rPr>
        <w:t>1</w:t>
      </w:r>
      <w:r>
        <w:rPr>
          <w:rFonts w:ascii="仿宋_GB2312"/>
          <w:szCs w:val="32"/>
        </w:rPr>
        <w:t>2:00前扫码进群，比赛顺序抽签、比赛有关事项将在群内进行沟通。</w:t>
      </w:r>
    </w:p>
    <w:p>
      <w:pPr>
        <w:ind w:firstLine="640" w:firstLineChars="200"/>
        <w:rPr>
          <w:rFonts w:ascii="黑体" w:hAnsi="黑体" w:eastAsia="黑体"/>
          <w:szCs w:val="32"/>
        </w:rPr>
      </w:pPr>
      <w:r>
        <w:rPr>
          <w:rFonts w:ascii="黑体" w:hAnsi="黑体" w:eastAsia="黑体"/>
          <w:szCs w:val="32"/>
        </w:rPr>
        <w:drawing>
          <wp:inline distT="0" distB="0" distL="0" distR="0">
            <wp:extent cx="2228215" cy="337566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268382" cy="3436436"/>
                    </a:xfrm>
                    <a:prstGeom prst="rect">
                      <a:avLst/>
                    </a:prstGeom>
                  </pic:spPr>
                </pic:pic>
              </a:graphicData>
            </a:graphic>
          </wp:inline>
        </w:drawing>
      </w:r>
      <w:r>
        <w:rPr>
          <w:rFonts w:ascii="黑体" w:hAnsi="黑体" w:eastAsia="黑体"/>
          <w:szCs w:val="32"/>
        </w:rPr>
        <w:drawing>
          <wp:inline distT="0" distB="0" distL="0" distR="0">
            <wp:extent cx="2247900" cy="34048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57282" cy="3419622"/>
                    </a:xfrm>
                    <a:prstGeom prst="rect">
                      <a:avLst/>
                    </a:prstGeom>
                  </pic:spPr>
                </pic:pic>
              </a:graphicData>
            </a:graphic>
          </wp:inline>
        </w:drawing>
      </w:r>
    </w:p>
    <w:p>
      <w:pPr>
        <w:ind w:firstLine="640" w:firstLineChars="200"/>
        <w:rPr>
          <w:rFonts w:ascii="仿宋_GB2312"/>
          <w:b/>
          <w:szCs w:val="32"/>
        </w:rPr>
      </w:pPr>
      <w:r>
        <w:rPr>
          <w:rFonts w:hint="eastAsia" w:ascii="黑体" w:hAnsi="黑体" w:eastAsia="黑体"/>
          <w:szCs w:val="32"/>
        </w:rPr>
        <w:t>四、</w:t>
      </w:r>
      <w:r>
        <w:rPr>
          <w:rFonts w:hint="eastAsia" w:ascii="仿宋_GB2312"/>
          <w:b/>
          <w:szCs w:val="32"/>
        </w:rPr>
        <w:t>联系人、联系方式</w:t>
      </w:r>
    </w:p>
    <w:p>
      <w:pPr>
        <w:ind w:firstLine="640" w:firstLineChars="200"/>
        <w:rPr>
          <w:rFonts w:ascii="仿宋_GB2312"/>
          <w:szCs w:val="32"/>
        </w:rPr>
      </w:pPr>
      <w:r>
        <w:rPr>
          <w:rFonts w:hint="eastAsia" w:ascii="仿宋_GB2312"/>
          <w:szCs w:val="32"/>
        </w:rPr>
        <w:t>联 系 人：刘老师  褚老师</w:t>
      </w:r>
    </w:p>
    <w:p>
      <w:pPr>
        <w:ind w:firstLine="640" w:firstLineChars="200"/>
        <w:rPr>
          <w:rFonts w:ascii="仿宋_GB2312"/>
          <w:szCs w:val="32"/>
        </w:rPr>
      </w:pPr>
      <w:r>
        <w:rPr>
          <w:rFonts w:hint="eastAsia" w:ascii="仿宋_GB2312"/>
          <w:szCs w:val="32"/>
        </w:rPr>
        <w:t xml:space="preserve">电    话：010-84778233 </w:t>
      </w:r>
    </w:p>
    <w:p>
      <w:pPr>
        <w:ind w:firstLine="640" w:firstLineChars="200"/>
        <w:rPr>
          <w:rFonts w:ascii="仿宋_GB2312"/>
          <w:szCs w:val="32"/>
        </w:rPr>
      </w:pPr>
      <w:r>
        <w:rPr>
          <w:rFonts w:hint="eastAsia" w:ascii="仿宋_GB2312"/>
          <w:szCs w:val="32"/>
        </w:rPr>
        <w:t>邮    箱：xsjy@bjypc.edu.cn</w:t>
      </w:r>
    </w:p>
    <w:p>
      <w:pPr>
        <w:ind w:firstLine="640" w:firstLineChars="200"/>
        <w:rPr>
          <w:rFonts w:ascii="仿宋_GB2312"/>
          <w:szCs w:val="32"/>
        </w:rPr>
      </w:pPr>
    </w:p>
    <w:p>
      <w:pPr>
        <w:ind w:firstLine="640" w:firstLineChars="200"/>
        <w:rPr>
          <w:rFonts w:ascii="仿宋_GB2312"/>
          <w:szCs w:val="32"/>
        </w:rPr>
      </w:pPr>
      <w:r>
        <w:rPr>
          <w:rFonts w:ascii="仿宋_GB2312"/>
          <w:szCs w:val="32"/>
        </w:rPr>
        <w:t>附件1</w:t>
      </w:r>
      <w:r>
        <w:rPr>
          <w:rFonts w:hint="eastAsia" w:ascii="仿宋_GB2312"/>
          <w:szCs w:val="32"/>
        </w:rPr>
        <w:t>：</w:t>
      </w:r>
      <w:r>
        <w:rPr>
          <w:rFonts w:ascii="仿宋_GB2312"/>
          <w:szCs w:val="32"/>
        </w:rPr>
        <w:t>评审标准</w:t>
      </w:r>
    </w:p>
    <w:p>
      <w:pPr>
        <w:ind w:firstLine="640" w:firstLineChars="200"/>
        <w:rPr>
          <w:rFonts w:ascii="仿宋_GB2312"/>
          <w:szCs w:val="32"/>
        </w:rPr>
      </w:pPr>
      <w:r>
        <w:rPr>
          <w:rFonts w:ascii="仿宋_GB2312"/>
          <w:szCs w:val="32"/>
        </w:rPr>
        <w:t>附件</w:t>
      </w:r>
      <w:r>
        <w:rPr>
          <w:rFonts w:hint="eastAsia" w:ascii="仿宋_GB2312"/>
          <w:szCs w:val="32"/>
        </w:rPr>
        <w:t>2：青年红色之旅、职教赛道入围校赛决赛名单</w:t>
      </w:r>
    </w:p>
    <w:p>
      <w:pPr>
        <w:ind w:firstLine="640" w:firstLineChars="200"/>
        <w:rPr>
          <w:rFonts w:ascii="仿宋_GB2312"/>
          <w:szCs w:val="32"/>
        </w:rPr>
      </w:pPr>
      <w:r>
        <w:rPr>
          <w:rFonts w:ascii="仿宋_GB2312"/>
          <w:szCs w:val="32"/>
        </w:rPr>
        <w:t>附件3</w:t>
      </w:r>
      <w:r>
        <w:rPr>
          <w:rFonts w:hint="eastAsia" w:ascii="仿宋_GB2312"/>
          <w:szCs w:val="32"/>
        </w:rPr>
        <w:t>：北青小屋赛道入围校赛决赛名单</w:t>
      </w:r>
      <w:r>
        <w:rPr>
          <w:rFonts w:hint="eastAsia" w:ascii="仿宋_GB2312"/>
          <w:szCs w:val="32"/>
        </w:rPr>
        <w:br w:type="page"/>
      </w:r>
      <w:r>
        <w:rPr>
          <w:rFonts w:ascii="仿宋_GB2312"/>
          <w:szCs w:val="32"/>
        </w:rPr>
        <w:t>附件</w:t>
      </w:r>
      <w:r>
        <w:rPr>
          <w:rFonts w:hint="eastAsia" w:ascii="仿宋_GB2312"/>
          <w:szCs w:val="32"/>
        </w:rPr>
        <w:t>1：评审标准</w:t>
      </w:r>
    </w:p>
    <w:p>
      <w:pPr>
        <w:spacing w:line="560" w:lineRule="exact"/>
        <w:ind w:firstLine="640" w:firstLineChars="200"/>
        <w:jc w:val="left"/>
        <w:rPr>
          <w:rFonts w:ascii="仿宋_GB2312"/>
          <w:szCs w:val="32"/>
        </w:rPr>
      </w:pPr>
      <w:r>
        <w:rPr>
          <w:rFonts w:hint="eastAsia" w:ascii="仿宋_GB2312"/>
          <w:szCs w:val="32"/>
        </w:rPr>
        <w:t>（一）创意组</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7136"/>
        <w:gridCol w:w="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黑体" w:hAnsi="黑体" w:eastAsia="黑体" w:cs="仿宋_GB2312"/>
                <w:sz w:val="24"/>
              </w:rPr>
            </w:pPr>
            <w:r>
              <w:rPr>
                <w:rFonts w:hint="eastAsia" w:ascii="黑体" w:hAnsi="黑体" w:eastAsia="黑体" w:cs="仿宋_GB2312"/>
                <w:sz w:val="24"/>
              </w:rPr>
              <w:t>评审要点</w:t>
            </w:r>
          </w:p>
        </w:tc>
        <w:tc>
          <w:tcPr>
            <w:tcW w:w="4186" w:type="pct"/>
            <w:vAlign w:val="center"/>
          </w:tcPr>
          <w:p>
            <w:pPr>
              <w:jc w:val="center"/>
              <w:rPr>
                <w:rFonts w:ascii="黑体" w:hAnsi="黑体" w:eastAsia="黑体" w:cs="仿宋_GB2312"/>
                <w:sz w:val="24"/>
              </w:rPr>
            </w:pPr>
            <w:r>
              <w:rPr>
                <w:rFonts w:hint="eastAsia" w:ascii="黑体" w:hAnsi="黑体" w:eastAsia="黑体" w:cs="仿宋_GB2312"/>
                <w:sz w:val="24"/>
              </w:rPr>
              <w:t>评审内容</w:t>
            </w:r>
          </w:p>
        </w:tc>
        <w:tc>
          <w:tcPr>
            <w:tcW w:w="329" w:type="pct"/>
            <w:vAlign w:val="center"/>
          </w:tcPr>
          <w:p>
            <w:pPr>
              <w:jc w:val="center"/>
              <w:rPr>
                <w:rFonts w:ascii="黑体" w:hAnsi="黑体" w:eastAsia="黑体" w:cs="仿宋_GB2312"/>
                <w:sz w:val="24"/>
              </w:rPr>
            </w:pPr>
            <w:r>
              <w:rPr>
                <w:rFonts w:hint="eastAsia" w:ascii="黑体" w:hAnsi="黑体" w:eastAsia="黑体" w:cs="仿宋_GB2312"/>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仿宋_GB2312" w:hAnsi="仿宋_GB2312" w:cs="仿宋_GB2312"/>
                <w:sz w:val="24"/>
              </w:rPr>
            </w:pPr>
            <w:r>
              <w:rPr>
                <w:rFonts w:hint="eastAsia" w:ascii="仿宋_GB2312" w:hAnsi="仿宋_GB2312" w:cs="仿宋_GB2312"/>
                <w:sz w:val="24"/>
              </w:rPr>
              <w:t>教育维度</w:t>
            </w:r>
          </w:p>
        </w:tc>
        <w:tc>
          <w:tcPr>
            <w:tcW w:w="4186" w:type="pct"/>
            <w:vAlign w:val="center"/>
          </w:tcPr>
          <w:p>
            <w:pPr>
              <w:jc w:val="left"/>
              <w:rPr>
                <w:rFonts w:ascii="仿宋_GB2312" w:hAnsi="仿宋_GB2312" w:cs="仿宋_GB2312"/>
                <w:sz w:val="24"/>
              </w:rPr>
            </w:pPr>
            <w:r>
              <w:rPr>
                <w:rFonts w:hint="eastAsia" w:ascii="仿宋_GB2312" w:hAnsi="仿宋_GB2312" w:cs="仿宋_GB2312"/>
                <w:sz w:val="24"/>
              </w:rPr>
              <w:t>1</w:t>
            </w:r>
            <w:r>
              <w:rPr>
                <w:rFonts w:ascii="仿宋_GB2312" w:hAnsi="仿宋_GB2312" w:cs="仿宋_GB2312"/>
                <w:sz w:val="24"/>
              </w:rPr>
              <w:t>.</w:t>
            </w:r>
            <w:r>
              <w:rPr>
                <w:rFonts w:hint="eastAsia" w:ascii="仿宋_GB2312" w:hAnsi="仿宋_GB2312" w:cs="仿宋_GB2312"/>
                <w:sz w:val="24"/>
              </w:rPr>
              <w:t>项目应弘扬正确的价值观，厚植家国情怀，恪守伦理规范，有助于培育创新创业精神。</w:t>
            </w:r>
          </w:p>
          <w:p>
            <w:pPr>
              <w:jc w:val="left"/>
              <w:rPr>
                <w:rFonts w:ascii="仿宋_GB2312" w:hAnsi="仿宋_GB2312" w:cs="仿宋_GB2312"/>
                <w:sz w:val="24"/>
              </w:rPr>
            </w:pPr>
            <w:r>
              <w:rPr>
                <w:rFonts w:ascii="仿宋_GB2312" w:hAnsi="仿宋_GB2312" w:cs="仿宋_GB2312"/>
                <w:sz w:val="24"/>
              </w:rPr>
              <w:t>2.项目符合将专业知识与商业知识有效结合并转化为商业价值或社会价值的创新创业基本过程和基本逻辑，展现创新创业教育对创业者基本素养</w:t>
            </w:r>
            <w:r>
              <w:rPr>
                <w:rFonts w:hint="eastAsia" w:ascii="仿宋_GB2312" w:hAnsi="仿宋_GB2312" w:cs="仿宋_GB2312"/>
                <w:sz w:val="24"/>
              </w:rPr>
              <w:t>和认知的塑造力。</w:t>
            </w:r>
          </w:p>
          <w:p>
            <w:pPr>
              <w:jc w:val="left"/>
              <w:rPr>
                <w:rFonts w:ascii="仿宋_GB2312" w:hAnsi="仿宋_GB2312" w:cs="仿宋_GB2312"/>
                <w:sz w:val="24"/>
              </w:rPr>
            </w:pPr>
            <w:r>
              <w:rPr>
                <w:rFonts w:ascii="仿宋_GB2312" w:hAnsi="仿宋_GB2312" w:cs="仿宋_GB2312"/>
                <w:sz w:val="24"/>
              </w:rPr>
              <w:t>3.体现团队对创新创业所需知识（专业知识、商业知识、行业知识等）与技能（计划、组织、领导、控制、创新等）的娴熟掌握与应用，展现创新创业教育提升创业者综合能力的效力。</w:t>
            </w:r>
          </w:p>
          <w:p>
            <w:pPr>
              <w:jc w:val="left"/>
              <w:rPr>
                <w:rFonts w:ascii="仿宋_GB2312" w:hAnsi="仿宋_GB2312" w:cs="仿宋_GB2312"/>
                <w:sz w:val="24"/>
              </w:rPr>
            </w:pPr>
            <w:r>
              <w:rPr>
                <w:rFonts w:ascii="仿宋_GB2312" w:hAnsi="仿宋_GB2312" w:cs="仿宋_GB2312"/>
                <w:sz w:val="24"/>
              </w:rPr>
              <w:t>4.</w:t>
            </w:r>
            <w:r>
              <w:rPr>
                <w:rFonts w:ascii="仿宋_GB2312" w:hAnsi="仿宋_GB2312" w:cs="仿宋_GB2312"/>
                <w:spacing w:val="-2"/>
                <w:sz w:val="24"/>
              </w:rPr>
              <w:t>项目充分体现团队解决复杂问题的综合能力和高级思维</w:t>
            </w:r>
            <w:r>
              <w:rPr>
                <w:rFonts w:hint="eastAsia" w:ascii="仿宋_GB2312" w:hAnsi="仿宋_GB2312" w:cs="仿宋_GB2312"/>
                <w:spacing w:val="-2"/>
                <w:sz w:val="24"/>
              </w:rPr>
              <w:t>；体现项目成长对团队成员创新创业精神、意识、能力的锻炼和提升作</w:t>
            </w:r>
            <w:r>
              <w:rPr>
                <w:rFonts w:hint="eastAsia" w:ascii="仿宋_GB2312" w:hAnsi="仿宋_GB2312" w:cs="仿宋_GB2312"/>
                <w:sz w:val="24"/>
              </w:rPr>
              <w:t>用。</w:t>
            </w:r>
          </w:p>
          <w:p>
            <w:pPr>
              <w:jc w:val="left"/>
              <w:rPr>
                <w:rFonts w:ascii="仿宋_GB2312" w:hAnsi="仿宋_GB2312" w:cs="仿宋_GB2312"/>
                <w:b/>
                <w:sz w:val="24"/>
              </w:rPr>
            </w:pPr>
            <w:r>
              <w:rPr>
                <w:rFonts w:ascii="仿宋_GB2312" w:hAnsi="仿宋_GB2312" w:cs="仿宋_GB2312"/>
                <w:sz w:val="24"/>
              </w:rPr>
              <w:t>5.项目能充分体现</w:t>
            </w:r>
            <w:r>
              <w:rPr>
                <w:rFonts w:hint="eastAsia" w:ascii="仿宋_GB2312" w:hAnsi="仿宋_GB2312" w:cs="仿宋_GB2312"/>
                <w:sz w:val="24"/>
              </w:rPr>
              <w:t>院校在职业教育建设方面取得的成果；体现院校在项目的培育、孵化等方面的支持情况；体现职普融通、产教融合、科教融汇、多学科交叉、专创融合、产学研协同创新等模式在项目的产生与执行中的重要作用。</w:t>
            </w:r>
          </w:p>
        </w:tc>
        <w:tc>
          <w:tcPr>
            <w:tcW w:w="329" w:type="pct"/>
            <w:vAlign w:val="center"/>
          </w:tcPr>
          <w:p>
            <w:pPr>
              <w:jc w:val="center"/>
              <w:rPr>
                <w:rFonts w:ascii="仿宋_GB2312" w:hAnsi="仿宋_GB2312" w:cs="仿宋_GB2312"/>
                <w:sz w:val="24"/>
              </w:rPr>
            </w:pPr>
            <w:r>
              <w:rPr>
                <w:rFonts w:hint="eastAsia" w:ascii="仿宋_GB2312" w:hAnsi="仿宋_GB2312" w:cs="仿宋_GB2312"/>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cs="仿宋_GB2312"/>
                <w:sz w:val="24"/>
              </w:rPr>
            </w:pPr>
            <w:r>
              <w:rPr>
                <w:rFonts w:hint="eastAsia" w:ascii="仿宋_GB2312" w:hAnsi="仿宋_GB2312" w:cs="仿宋_GB2312"/>
                <w:sz w:val="24"/>
              </w:rPr>
              <w:t>创新维度</w:t>
            </w:r>
          </w:p>
        </w:tc>
        <w:tc>
          <w:tcPr>
            <w:tcW w:w="4186" w:type="pct"/>
          </w:tcPr>
          <w:p>
            <w:pPr>
              <w:jc w:val="left"/>
              <w:rPr>
                <w:rFonts w:ascii="仿宋_GB2312" w:hAnsi="仿宋_GB2312" w:cs="仿宋_GB2312"/>
                <w:sz w:val="24"/>
              </w:rPr>
            </w:pPr>
            <w:r>
              <w:rPr>
                <w:rFonts w:hint="eastAsia" w:ascii="仿宋_GB2312" w:hAnsi="仿宋_GB2312" w:cs="仿宋_GB2312"/>
                <w:sz w:val="24"/>
              </w:rPr>
              <w:t>1.具有原始创意、创造。</w:t>
            </w:r>
          </w:p>
          <w:p>
            <w:pPr>
              <w:jc w:val="left"/>
              <w:rPr>
                <w:rFonts w:ascii="仿宋_GB2312" w:hAnsi="仿宋_GB2312" w:cs="仿宋_GB2312"/>
                <w:sz w:val="24"/>
              </w:rPr>
            </w:pPr>
            <w:r>
              <w:rPr>
                <w:rFonts w:hint="eastAsia" w:ascii="仿宋_GB2312" w:hAnsi="仿宋_GB2312" w:cs="仿宋_GB2312"/>
                <w:sz w:val="24"/>
              </w:rPr>
              <w:t>2.具有面向培养“大国工匠”与能工巧匠的创意与创新。</w:t>
            </w:r>
          </w:p>
          <w:p>
            <w:pPr>
              <w:jc w:val="left"/>
              <w:rPr>
                <w:rFonts w:ascii="仿宋_GB2312" w:hAnsi="仿宋_GB2312" w:cs="仿宋_GB2312"/>
                <w:sz w:val="24"/>
              </w:rPr>
            </w:pPr>
            <w:r>
              <w:rPr>
                <w:rFonts w:hint="eastAsia" w:ascii="仿宋_GB2312" w:hAnsi="仿宋_GB2312" w:cs="仿宋_GB2312"/>
                <w:sz w:val="24"/>
              </w:rPr>
              <w:t>3.项目体现产教融合模式创新、校企合作模式创新、工学一体模式创新。</w:t>
            </w:r>
          </w:p>
          <w:p>
            <w:pPr>
              <w:jc w:val="left"/>
              <w:rPr>
                <w:rFonts w:ascii="仿宋_GB2312" w:hAnsi="仿宋_GB2312" w:cs="仿宋_GB2312"/>
                <w:sz w:val="24"/>
              </w:rPr>
            </w:pPr>
            <w:r>
              <w:rPr>
                <w:rFonts w:hint="eastAsia" w:ascii="仿宋_GB2312" w:hAnsi="仿宋_GB2312" w:cs="仿宋_GB2312"/>
                <w:sz w:val="24"/>
              </w:rPr>
              <w:t>4.鼓励面向职业和岗位的创意及创新，侧重于加工工艺创新、实用技术创新、产品（技术）改良、应用性优化、民生类创意等。</w:t>
            </w:r>
          </w:p>
        </w:tc>
        <w:tc>
          <w:tcPr>
            <w:tcW w:w="329" w:type="pct"/>
            <w:vAlign w:val="center"/>
          </w:tcPr>
          <w:p>
            <w:pPr>
              <w:jc w:val="center"/>
              <w:rPr>
                <w:rFonts w:ascii="仿宋_GB2312" w:hAnsi="仿宋_GB2312" w:cs="仿宋_GB2312"/>
                <w:sz w:val="24"/>
              </w:rPr>
            </w:pPr>
            <w:r>
              <w:rPr>
                <w:rFonts w:hint="eastAsia" w:ascii="仿宋_GB2312" w:hAnsi="仿宋_GB2312" w:cs="仿宋_GB2312"/>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cs="仿宋_GB2312"/>
                <w:sz w:val="24"/>
              </w:rPr>
            </w:pPr>
            <w:r>
              <w:rPr>
                <w:rFonts w:hint="eastAsia" w:ascii="仿宋_GB2312" w:hAnsi="仿宋_GB2312" w:cs="仿宋_GB2312"/>
                <w:sz w:val="24"/>
              </w:rPr>
              <w:t>团队维度</w:t>
            </w:r>
          </w:p>
        </w:tc>
        <w:tc>
          <w:tcPr>
            <w:tcW w:w="4186" w:type="pct"/>
          </w:tcPr>
          <w:p>
            <w:pPr>
              <w:jc w:val="left"/>
              <w:rPr>
                <w:rFonts w:ascii="仿宋_GB2312" w:hAnsi="仿宋_GB2312" w:cs="仿宋_GB2312"/>
                <w:sz w:val="24"/>
              </w:rPr>
            </w:pPr>
            <w:r>
              <w:rPr>
                <w:rFonts w:ascii="仿宋_GB2312" w:hAnsi="仿宋_GB2312" w:cs="仿宋_GB2312"/>
                <w:sz w:val="24"/>
              </w:rPr>
              <w:t>1.团队</w:t>
            </w:r>
            <w:r>
              <w:rPr>
                <w:rFonts w:hint="eastAsia" w:ascii="仿宋_GB2312" w:hAnsi="仿宋_GB2312" w:cs="仿宋_GB2312"/>
                <w:sz w:val="24"/>
              </w:rPr>
              <w:t>的组成原则与过程是否科学合理；团队是否具有支撑项目成长的知识、技术和经验；是否有明确的使命愿景。</w:t>
            </w:r>
          </w:p>
          <w:p>
            <w:pPr>
              <w:jc w:val="left"/>
              <w:rPr>
                <w:rFonts w:ascii="仿宋_GB2312" w:hAnsi="仿宋_GB2312" w:cs="仿宋_GB2312"/>
                <w:sz w:val="24"/>
              </w:rPr>
            </w:pPr>
            <w:r>
              <w:rPr>
                <w:rFonts w:ascii="仿宋_GB2312" w:hAnsi="仿宋_GB2312" w:cs="仿宋_GB2312"/>
                <w:sz w:val="24"/>
              </w:rPr>
              <w:t>2.团队的组织构架、</w:t>
            </w:r>
            <w:r>
              <w:rPr>
                <w:rFonts w:hint="eastAsia" w:ascii="仿宋_GB2312" w:hAnsi="仿宋_GB2312" w:cs="仿宋_GB2312"/>
                <w:sz w:val="24"/>
              </w:rPr>
              <w:t>人员配置、分工协作、能力结构、专业结构、合作机制、激励制度等的合理性情况。</w:t>
            </w:r>
          </w:p>
          <w:p>
            <w:pPr>
              <w:jc w:val="left"/>
              <w:rPr>
                <w:rFonts w:ascii="仿宋_GB2312" w:hAnsi="仿宋_GB2312" w:cs="仿宋_GB2312"/>
                <w:sz w:val="24"/>
              </w:rPr>
            </w:pPr>
            <w:r>
              <w:rPr>
                <w:rFonts w:ascii="仿宋_GB2312" w:hAnsi="仿宋_GB2312" w:cs="仿宋_GB2312"/>
                <w:sz w:val="24"/>
              </w:rPr>
              <w:t>3.团队与项目关系的真实性、紧密性</w:t>
            </w:r>
            <w:r>
              <w:rPr>
                <w:rFonts w:hint="eastAsia" w:ascii="仿宋_GB2312" w:hAnsi="仿宋_GB2312" w:cs="仿宋_GB2312"/>
                <w:sz w:val="24"/>
              </w:rPr>
              <w:t>情况；对项目的各项投入情况；创立创业企业的可能性情况。</w:t>
            </w:r>
          </w:p>
          <w:p>
            <w:pPr>
              <w:jc w:val="left"/>
              <w:rPr>
                <w:rFonts w:ascii="仿宋_GB2312" w:hAnsi="仿宋_GB2312" w:cs="仿宋_GB2312"/>
                <w:sz w:val="24"/>
              </w:rPr>
            </w:pPr>
            <w:r>
              <w:rPr>
                <w:rFonts w:ascii="仿宋_GB2312" w:hAnsi="仿宋_GB2312" w:cs="仿宋_GB2312"/>
                <w:sz w:val="24"/>
              </w:rPr>
              <w:t>4.支撑项目发展的合作伙伴等外部资源的使用以及与项目关系的情况。</w:t>
            </w:r>
          </w:p>
        </w:tc>
        <w:tc>
          <w:tcPr>
            <w:tcW w:w="329" w:type="pct"/>
            <w:vAlign w:val="center"/>
          </w:tcPr>
          <w:p>
            <w:pPr>
              <w:jc w:val="center"/>
              <w:rPr>
                <w:rFonts w:ascii="仿宋_GB2312" w:hAnsi="仿宋_GB2312" w:cs="仿宋_GB2312"/>
                <w:sz w:val="24"/>
              </w:rPr>
            </w:pPr>
            <w:r>
              <w:rPr>
                <w:rFonts w:hint="eastAsia" w:ascii="仿宋_GB2312" w:hAnsi="仿宋_GB2312" w:cs="仿宋_GB2312"/>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cs="仿宋_GB2312"/>
                <w:sz w:val="24"/>
              </w:rPr>
            </w:pPr>
            <w:r>
              <w:rPr>
                <w:rFonts w:hint="eastAsia" w:ascii="仿宋_GB2312" w:hAnsi="仿宋_GB2312" w:cs="仿宋_GB2312"/>
                <w:sz w:val="24"/>
              </w:rPr>
              <w:t>商业维度</w:t>
            </w:r>
          </w:p>
        </w:tc>
        <w:tc>
          <w:tcPr>
            <w:tcW w:w="4186" w:type="pct"/>
          </w:tcPr>
          <w:p>
            <w:pPr>
              <w:jc w:val="left"/>
              <w:rPr>
                <w:rFonts w:ascii="仿宋_GB2312" w:hAnsi="仿宋_GB2312" w:cs="仿宋_GB2312"/>
                <w:sz w:val="24"/>
              </w:rPr>
            </w:pPr>
            <w:r>
              <w:rPr>
                <w:rFonts w:ascii="仿宋_GB2312" w:hAnsi="仿宋_GB2312" w:cs="仿宋_GB2312"/>
                <w:sz w:val="24"/>
              </w:rPr>
              <w:t>1.</w:t>
            </w:r>
            <w:r>
              <w:rPr>
                <w:rFonts w:hint="eastAsia" w:ascii="仿宋_GB2312" w:hAnsi="仿宋_GB2312" w:cs="仿宋_GB2312"/>
                <w:sz w:val="24"/>
              </w:rPr>
              <w:t>充分了解所在产业（行业）的产业规模、增长速度、竞争格局、产业趋势、产业政策等情况，形成完备、深刻的产业认知。</w:t>
            </w:r>
          </w:p>
          <w:p>
            <w:pPr>
              <w:jc w:val="left"/>
              <w:rPr>
                <w:rFonts w:ascii="仿宋_GB2312" w:hAnsi="仿宋_GB2312" w:cs="仿宋_GB2312"/>
                <w:sz w:val="24"/>
              </w:rPr>
            </w:pPr>
            <w:r>
              <w:rPr>
                <w:rFonts w:ascii="仿宋_GB2312" w:hAnsi="仿宋_GB2312" w:cs="仿宋_GB2312"/>
                <w:sz w:val="24"/>
              </w:rPr>
              <w:t>2.项目具有明确的目标市场定位，对目标市场的特征、需求等情况有</w:t>
            </w:r>
            <w:r>
              <w:rPr>
                <w:rFonts w:hint="eastAsia" w:ascii="仿宋_GB2312" w:hAnsi="仿宋_GB2312" w:cs="仿宋_GB2312"/>
                <w:sz w:val="24"/>
              </w:rPr>
              <w:t>清晰的了解</w:t>
            </w:r>
            <w:r>
              <w:rPr>
                <w:rFonts w:ascii="仿宋_GB2312" w:hAnsi="仿宋_GB2312" w:cs="仿宋_GB2312"/>
                <w:sz w:val="24"/>
              </w:rPr>
              <w:t>，并据此制定合理的营销、运营、财务等计划，设计出完整、</w:t>
            </w:r>
            <w:r>
              <w:rPr>
                <w:rFonts w:hint="eastAsia" w:ascii="仿宋_GB2312" w:hAnsi="仿宋_GB2312" w:cs="仿宋_GB2312"/>
                <w:sz w:val="24"/>
              </w:rPr>
              <w:t>创新、</w:t>
            </w:r>
            <w:r>
              <w:rPr>
                <w:rFonts w:ascii="仿宋_GB2312" w:hAnsi="仿宋_GB2312" w:cs="仿宋_GB2312"/>
                <w:sz w:val="24"/>
              </w:rPr>
              <w:t>可行的商业模式，展现团队的商业思维</w:t>
            </w:r>
            <w:r>
              <w:rPr>
                <w:rFonts w:hint="eastAsia" w:ascii="仿宋_GB2312" w:hAnsi="仿宋_GB2312" w:cs="仿宋_GB2312"/>
                <w:sz w:val="24"/>
              </w:rPr>
              <w:t>。</w:t>
            </w:r>
          </w:p>
          <w:p>
            <w:pPr>
              <w:jc w:val="left"/>
              <w:rPr>
                <w:rFonts w:ascii="仿宋_GB2312" w:hAnsi="仿宋_GB2312" w:cs="仿宋_GB2312"/>
                <w:sz w:val="24"/>
              </w:rPr>
            </w:pPr>
            <w:r>
              <w:rPr>
                <w:rFonts w:ascii="仿宋_GB2312" w:hAnsi="仿宋_GB2312" w:cs="仿宋_GB2312"/>
                <w:sz w:val="24"/>
              </w:rPr>
              <w:t>3.</w:t>
            </w:r>
            <w:r>
              <w:rPr>
                <w:rFonts w:hint="eastAsia" w:ascii="仿宋_GB2312" w:hAnsi="仿宋_GB2312" w:cs="仿宋_GB2312"/>
                <w:sz w:val="24"/>
              </w:rPr>
              <w:t>其他：项目落地执行情况；项目促进区域经济发展、产业转型升级的情况；已有盈利能力或盈利潜力情况。</w:t>
            </w:r>
          </w:p>
        </w:tc>
        <w:tc>
          <w:tcPr>
            <w:tcW w:w="329" w:type="pct"/>
            <w:vAlign w:val="center"/>
          </w:tcPr>
          <w:p>
            <w:pPr>
              <w:jc w:val="center"/>
              <w:rPr>
                <w:rFonts w:ascii="仿宋_GB2312" w:hAnsi="仿宋_GB2312" w:cs="仿宋_GB2312"/>
                <w:sz w:val="24"/>
              </w:rPr>
            </w:pPr>
            <w:r>
              <w:rPr>
                <w:rFonts w:hint="eastAsia" w:ascii="仿宋_GB2312" w:hAnsi="仿宋_GB2312" w:cs="仿宋_GB2312"/>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cs="仿宋_GB2312"/>
                <w:sz w:val="24"/>
              </w:rPr>
            </w:pPr>
            <w:r>
              <w:rPr>
                <w:rFonts w:hint="eastAsia" w:ascii="仿宋_GB2312" w:hAnsi="仿宋_GB2312" w:cs="仿宋_GB2312"/>
                <w:sz w:val="24"/>
              </w:rPr>
              <w:t>社会价值维度</w:t>
            </w:r>
          </w:p>
        </w:tc>
        <w:tc>
          <w:tcPr>
            <w:tcW w:w="4186" w:type="pct"/>
          </w:tcPr>
          <w:p>
            <w:pPr>
              <w:jc w:val="left"/>
              <w:rPr>
                <w:rFonts w:ascii="仿宋_GB2312" w:hAnsi="仿宋_GB2312" w:cs="仿宋_GB2312"/>
                <w:sz w:val="24"/>
              </w:rPr>
            </w:pPr>
            <w:r>
              <w:rPr>
                <w:rFonts w:hint="eastAsia" w:ascii="仿宋_GB2312" w:hAnsi="仿宋_GB2312" w:cs="仿宋_GB2312"/>
                <w:sz w:val="24"/>
              </w:rPr>
              <w:t>1.项目直接提供就业岗位的数量和质量。</w:t>
            </w:r>
          </w:p>
          <w:p>
            <w:pPr>
              <w:jc w:val="left"/>
              <w:rPr>
                <w:rFonts w:ascii="仿宋_GB2312" w:hAnsi="仿宋_GB2312" w:cs="仿宋_GB2312"/>
                <w:sz w:val="24"/>
              </w:rPr>
            </w:pPr>
            <w:r>
              <w:rPr>
                <w:rFonts w:hint="eastAsia" w:ascii="仿宋_GB2312" w:hAnsi="仿宋_GB2312" w:cs="仿宋_GB2312"/>
                <w:sz w:val="24"/>
              </w:rPr>
              <w:t>2.项目间接带动就业的能力和规模。</w:t>
            </w:r>
          </w:p>
          <w:p>
            <w:pPr>
              <w:jc w:val="left"/>
              <w:rPr>
                <w:rFonts w:ascii="仿宋_GB2312" w:hAnsi="仿宋_GB2312" w:cs="仿宋_GB2312"/>
                <w:sz w:val="24"/>
              </w:rPr>
            </w:pPr>
            <w:r>
              <w:rPr>
                <w:rFonts w:hint="eastAsia" w:ascii="仿宋_GB2312" w:hAnsi="仿宋_GB2312" w:cs="仿宋_GB2312"/>
                <w:sz w:val="24"/>
              </w:rPr>
              <w:t>3.项目对社会文明、生态文明、民生福祉等方面的积极推动作用。</w:t>
            </w:r>
          </w:p>
        </w:tc>
        <w:tc>
          <w:tcPr>
            <w:tcW w:w="329" w:type="pct"/>
            <w:vAlign w:val="center"/>
          </w:tcPr>
          <w:p>
            <w:pPr>
              <w:jc w:val="center"/>
              <w:rPr>
                <w:rFonts w:ascii="仿宋_GB2312" w:hAnsi="仿宋_GB2312" w:cs="仿宋_GB2312"/>
                <w:sz w:val="24"/>
              </w:rPr>
            </w:pPr>
            <w:r>
              <w:rPr>
                <w:rFonts w:hint="eastAsia" w:ascii="仿宋_GB2312" w:hAnsi="仿宋_GB2312" w:cs="仿宋_GB2312"/>
                <w:sz w:val="24"/>
              </w:rPr>
              <w:t>10</w:t>
            </w:r>
          </w:p>
        </w:tc>
      </w:tr>
    </w:tbl>
    <w:p>
      <w:pPr>
        <w:spacing w:line="560" w:lineRule="exact"/>
        <w:ind w:firstLine="640" w:firstLineChars="200"/>
        <w:jc w:val="left"/>
        <w:rPr>
          <w:rFonts w:ascii="仿宋_GB2312"/>
          <w:szCs w:val="32"/>
        </w:rPr>
      </w:pPr>
      <w:r>
        <w:rPr>
          <w:rFonts w:hint="eastAsia" w:ascii="仿宋_GB2312"/>
          <w:szCs w:val="32"/>
        </w:rPr>
        <w:t>（二）创业组</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7138"/>
        <w:gridCol w:w="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黑体" w:hAnsi="黑体" w:eastAsia="黑体" w:cs="仿宋_GB2312"/>
                <w:sz w:val="24"/>
              </w:rPr>
            </w:pPr>
            <w:r>
              <w:rPr>
                <w:rFonts w:hint="eastAsia" w:ascii="黑体" w:hAnsi="黑体" w:eastAsia="黑体" w:cs="仿宋_GB2312"/>
                <w:sz w:val="24"/>
              </w:rPr>
              <w:t>评审要点</w:t>
            </w:r>
          </w:p>
        </w:tc>
        <w:tc>
          <w:tcPr>
            <w:tcW w:w="4188" w:type="pct"/>
            <w:vAlign w:val="center"/>
          </w:tcPr>
          <w:p>
            <w:pPr>
              <w:jc w:val="center"/>
              <w:rPr>
                <w:rFonts w:ascii="黑体" w:hAnsi="黑体" w:eastAsia="黑体" w:cs="仿宋_GB2312"/>
                <w:sz w:val="24"/>
              </w:rPr>
            </w:pPr>
            <w:r>
              <w:rPr>
                <w:rFonts w:hint="eastAsia" w:ascii="黑体" w:hAnsi="黑体" w:eastAsia="黑体" w:cs="仿宋_GB2312"/>
                <w:sz w:val="24"/>
              </w:rPr>
              <w:t>评审内容</w:t>
            </w:r>
          </w:p>
        </w:tc>
        <w:tc>
          <w:tcPr>
            <w:tcW w:w="328" w:type="pct"/>
            <w:vAlign w:val="center"/>
          </w:tcPr>
          <w:p>
            <w:pPr>
              <w:jc w:val="center"/>
              <w:rPr>
                <w:rFonts w:ascii="黑体" w:hAnsi="黑体" w:eastAsia="黑体" w:cs="仿宋_GB2312"/>
                <w:sz w:val="24"/>
              </w:rPr>
            </w:pPr>
            <w:r>
              <w:rPr>
                <w:rFonts w:hint="eastAsia" w:ascii="黑体" w:hAnsi="黑体" w:eastAsia="黑体" w:cs="仿宋_GB2312"/>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cs="仿宋_GB2312"/>
                <w:sz w:val="24"/>
              </w:rPr>
            </w:pPr>
            <w:r>
              <w:rPr>
                <w:rFonts w:hint="eastAsia" w:ascii="仿宋_GB2312" w:hAnsi="仿宋_GB2312" w:cs="仿宋_GB2312"/>
                <w:sz w:val="24"/>
              </w:rPr>
              <w:t>教育维度</w:t>
            </w:r>
          </w:p>
        </w:tc>
        <w:tc>
          <w:tcPr>
            <w:tcW w:w="4188" w:type="pct"/>
            <w:vAlign w:val="center"/>
          </w:tcPr>
          <w:p>
            <w:pPr>
              <w:jc w:val="left"/>
              <w:rPr>
                <w:rFonts w:ascii="仿宋_GB2312" w:hAnsi="仿宋_GB2312" w:cs="仿宋_GB2312"/>
                <w:sz w:val="24"/>
              </w:rPr>
            </w:pPr>
            <w:r>
              <w:rPr>
                <w:rFonts w:hint="eastAsia" w:ascii="仿宋_GB2312" w:hAnsi="仿宋_GB2312" w:cs="仿宋_GB2312"/>
                <w:sz w:val="24"/>
              </w:rPr>
              <w:t>1</w:t>
            </w:r>
            <w:r>
              <w:rPr>
                <w:rFonts w:ascii="仿宋_GB2312" w:hAnsi="仿宋_GB2312" w:cs="仿宋_GB2312"/>
                <w:sz w:val="24"/>
              </w:rPr>
              <w:t>.</w:t>
            </w:r>
            <w:r>
              <w:rPr>
                <w:rFonts w:hint="eastAsia" w:ascii="仿宋_GB2312" w:hAnsi="仿宋_GB2312" w:cs="仿宋_GB2312"/>
                <w:sz w:val="24"/>
              </w:rPr>
              <w:t>项目应弘扬正确的价值观，厚植家国情怀，恪守伦理规范，有助于培育创新创业精神。</w:t>
            </w:r>
          </w:p>
          <w:p>
            <w:pPr>
              <w:jc w:val="left"/>
              <w:rPr>
                <w:rFonts w:ascii="仿宋_GB2312" w:hAnsi="仿宋_GB2312" w:cs="仿宋_GB2312"/>
                <w:sz w:val="24"/>
              </w:rPr>
            </w:pPr>
            <w:r>
              <w:rPr>
                <w:rFonts w:ascii="仿宋_GB2312" w:hAnsi="仿宋_GB2312" w:cs="仿宋_GB2312"/>
                <w:sz w:val="24"/>
              </w:rPr>
              <w:t>2.项目符合将专业知识与商业知识有效结合并转化为商业价值或社会价值的创新创业基本过程和基本逻辑，展现创新创业教育对创业者基本素养和认知的塑造力。</w:t>
            </w:r>
          </w:p>
          <w:p>
            <w:pPr>
              <w:jc w:val="left"/>
              <w:rPr>
                <w:rFonts w:ascii="仿宋_GB2312" w:hAnsi="仿宋_GB2312" w:cs="仿宋_GB2312"/>
                <w:sz w:val="24"/>
              </w:rPr>
            </w:pPr>
            <w:r>
              <w:rPr>
                <w:rFonts w:ascii="仿宋_GB2312" w:hAnsi="仿宋_GB2312" w:cs="仿宋_GB2312"/>
                <w:sz w:val="24"/>
              </w:rPr>
              <w:t>3.体现团队对创新创业所需知识（专业知识、商业知识、行业知识等）与技能（计划、组织、领导、控制、创新等）的娴熟掌握与应用，展现创新创业教育提升创业者综合能力的效力。</w:t>
            </w:r>
          </w:p>
          <w:p>
            <w:pPr>
              <w:jc w:val="left"/>
              <w:rPr>
                <w:rFonts w:ascii="仿宋_GB2312" w:hAnsi="仿宋_GB2312" w:cs="仿宋_GB2312"/>
                <w:sz w:val="24"/>
              </w:rPr>
            </w:pPr>
            <w:r>
              <w:rPr>
                <w:rFonts w:ascii="仿宋_GB2312" w:hAnsi="仿宋_GB2312" w:cs="仿宋_GB2312"/>
                <w:spacing w:val="-2"/>
                <w:sz w:val="24"/>
              </w:rPr>
              <w:t>4.项目充分体现团队解决复杂问题的综合能力和高级思维</w:t>
            </w:r>
            <w:r>
              <w:rPr>
                <w:rFonts w:hint="eastAsia" w:ascii="仿宋_GB2312" w:hAnsi="仿宋_GB2312" w:cs="仿宋_GB2312"/>
                <w:spacing w:val="-2"/>
                <w:sz w:val="24"/>
              </w:rPr>
              <w:t>；体现项目成长对团队成员创新创业精神、意识、能力的锻炼和提升作</w:t>
            </w:r>
            <w:r>
              <w:rPr>
                <w:rFonts w:hint="eastAsia" w:ascii="仿宋_GB2312" w:hAnsi="仿宋_GB2312" w:cs="仿宋_GB2312"/>
                <w:sz w:val="24"/>
              </w:rPr>
              <w:t>用。</w:t>
            </w:r>
          </w:p>
          <w:p>
            <w:pPr>
              <w:jc w:val="left"/>
              <w:rPr>
                <w:rFonts w:ascii="仿宋_GB2312" w:hAnsi="仿宋_GB2312" w:cs="仿宋_GB2312"/>
                <w:sz w:val="24"/>
              </w:rPr>
            </w:pPr>
            <w:r>
              <w:rPr>
                <w:rFonts w:ascii="仿宋_GB2312" w:hAnsi="仿宋_GB2312" w:cs="仿宋_GB2312"/>
                <w:sz w:val="24"/>
              </w:rPr>
              <w:t>5.项目能充分体现</w:t>
            </w:r>
            <w:r>
              <w:rPr>
                <w:rFonts w:hint="eastAsia" w:ascii="仿宋_GB2312" w:hAnsi="仿宋_GB2312" w:cs="仿宋_GB2312"/>
                <w:sz w:val="24"/>
              </w:rPr>
              <w:t>院校在职业教育建设方面取得的成果；体现院校在项目的培育、孵化等方面的支持情况；体现职普融通、产教融合、科教融汇、多学科交叉、专创融合、产学研协同创新等模式在项目的产生与执行中的重要作用。</w:t>
            </w:r>
          </w:p>
        </w:tc>
        <w:tc>
          <w:tcPr>
            <w:tcW w:w="328" w:type="pct"/>
            <w:vAlign w:val="center"/>
          </w:tcPr>
          <w:p>
            <w:pPr>
              <w:jc w:val="center"/>
              <w:rPr>
                <w:rFonts w:ascii="仿宋_GB2312" w:hAnsi="仿宋_GB2312" w:cs="仿宋_GB2312"/>
                <w:sz w:val="24"/>
              </w:rPr>
            </w:pPr>
            <w:r>
              <w:rPr>
                <w:rFonts w:hint="eastAsia" w:ascii="仿宋_GB2312" w:hAnsi="仿宋_GB2312" w:cs="仿宋_GB2312"/>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cs="仿宋_GB2312"/>
                <w:sz w:val="24"/>
              </w:rPr>
            </w:pPr>
            <w:r>
              <w:rPr>
                <w:rFonts w:hint="eastAsia" w:ascii="仿宋_GB2312" w:hAnsi="仿宋_GB2312" w:cs="仿宋_GB2312"/>
                <w:sz w:val="24"/>
              </w:rPr>
              <w:t>商业维度</w:t>
            </w:r>
          </w:p>
        </w:tc>
        <w:tc>
          <w:tcPr>
            <w:tcW w:w="4188" w:type="pct"/>
            <w:vAlign w:val="center"/>
          </w:tcPr>
          <w:p>
            <w:pPr>
              <w:jc w:val="left"/>
              <w:rPr>
                <w:rFonts w:ascii="仿宋_GB2312" w:hAnsi="仿宋_GB2312" w:cs="仿宋_GB2312"/>
                <w:sz w:val="24"/>
              </w:rPr>
            </w:pPr>
            <w:r>
              <w:rPr>
                <w:rFonts w:ascii="仿宋_GB2312" w:hAnsi="仿宋_GB2312" w:cs="仿宋_GB2312"/>
                <w:sz w:val="24"/>
              </w:rPr>
              <w:t>1.充分掌握所在产业（行业）的产业规模、增长速度、竞争格局、产业趋势、产业政策等情况；具有明确的目标市场定位，充分掌握目标市场的特征、需求等情况；具有完整、</w:t>
            </w:r>
            <w:r>
              <w:rPr>
                <w:rFonts w:hint="eastAsia" w:ascii="仿宋_GB2312" w:hAnsi="仿宋_GB2312" w:cs="仿宋_GB2312"/>
                <w:sz w:val="24"/>
              </w:rPr>
              <w:t>创新、</w:t>
            </w:r>
            <w:r>
              <w:rPr>
                <w:rFonts w:ascii="仿宋_GB2312" w:hAnsi="仿宋_GB2312" w:cs="仿宋_GB2312"/>
                <w:sz w:val="24"/>
              </w:rPr>
              <w:t>可行的商业模式。</w:t>
            </w:r>
          </w:p>
          <w:p>
            <w:pPr>
              <w:jc w:val="left"/>
              <w:rPr>
                <w:rFonts w:ascii="仿宋_GB2312" w:hAnsi="仿宋_GB2312" w:cs="仿宋_GB2312"/>
                <w:sz w:val="24"/>
              </w:rPr>
            </w:pPr>
            <w:r>
              <w:rPr>
                <w:rFonts w:hint="eastAsia" w:ascii="仿宋_GB2312" w:hAnsi="仿宋_GB2312" w:cs="仿宋_GB2312"/>
                <w:sz w:val="24"/>
              </w:rPr>
              <w:t>2.经营绩效方面，重点考察项目存续时间、营业收入（合同订单）现状、企业利润、持续盈利能力、市场份额、客户（用户）情况、税收上缴、投入与产出比等情况。</w:t>
            </w:r>
          </w:p>
          <w:p>
            <w:pPr>
              <w:jc w:val="left"/>
              <w:rPr>
                <w:rFonts w:ascii="仿宋_GB2312" w:hAnsi="仿宋_GB2312" w:cs="仿宋_GB2312"/>
                <w:sz w:val="24"/>
              </w:rPr>
            </w:pPr>
            <w:r>
              <w:rPr>
                <w:rFonts w:hint="eastAsia" w:ascii="仿宋_GB2312" w:hAnsi="仿宋_GB2312" w:cs="仿宋_GB2312"/>
                <w:sz w:val="24"/>
              </w:rPr>
              <w:t>3.经营管理方面，是否有清晰的企业发展目标；是否有完备的研发、生产、运营、营销等制度和体系；是否采用先进、科学的管理方法，以确保企业具有较强的竞争力。</w:t>
            </w:r>
          </w:p>
          <w:p>
            <w:pPr>
              <w:jc w:val="left"/>
              <w:rPr>
                <w:rFonts w:ascii="仿宋_GB2312" w:hAnsi="仿宋_GB2312" w:cs="仿宋_GB2312"/>
                <w:sz w:val="24"/>
              </w:rPr>
            </w:pPr>
            <w:r>
              <w:rPr>
                <w:rFonts w:ascii="仿宋_GB2312" w:hAnsi="仿宋_GB2312" w:cs="仿宋_GB2312"/>
                <w:sz w:val="24"/>
              </w:rPr>
              <w:t>4.成长性方面，是否有清晰</w:t>
            </w:r>
            <w:r>
              <w:rPr>
                <w:rFonts w:hint="eastAsia" w:ascii="仿宋_GB2312" w:hAnsi="仿宋_GB2312" w:cs="仿宋_GB2312"/>
                <w:sz w:val="24"/>
              </w:rPr>
              <w:t>、有效、全方位的企业发展战略，并拥有可靠的内外部资源（人才、资金、技术等方面）实现企业战略，以建立企业的持续竞争优势。</w:t>
            </w:r>
          </w:p>
          <w:p>
            <w:pPr>
              <w:jc w:val="left"/>
              <w:rPr>
                <w:rFonts w:ascii="仿宋_GB2312" w:hAnsi="仿宋_GB2312" w:cs="仿宋_GB2312"/>
                <w:sz w:val="24"/>
              </w:rPr>
            </w:pPr>
            <w:r>
              <w:rPr>
                <w:rFonts w:ascii="仿宋_GB2312" w:hAnsi="仿宋_GB2312" w:cs="仿宋_GB2312"/>
                <w:sz w:val="24"/>
              </w:rPr>
              <w:t>5</w:t>
            </w:r>
            <w:r>
              <w:rPr>
                <w:rFonts w:hint="eastAsia" w:ascii="仿宋_GB2312" w:hAnsi="仿宋_GB2312" w:cs="仿宋_GB2312"/>
                <w:sz w:val="24"/>
              </w:rPr>
              <w:t>.现金流及融资方面，关注项目融资情况、获取资金渠道情况、企业经营的现金流情况、融资需求及资金使用情况是否合理。</w:t>
            </w:r>
          </w:p>
          <w:p>
            <w:pPr>
              <w:jc w:val="left"/>
              <w:rPr>
                <w:rFonts w:ascii="仿宋_GB2312" w:hAnsi="仿宋_GB2312" w:cs="仿宋_GB2312"/>
                <w:sz w:val="24"/>
              </w:rPr>
            </w:pPr>
            <w:r>
              <w:rPr>
                <w:rFonts w:ascii="仿宋_GB2312" w:hAnsi="仿宋_GB2312" w:cs="仿宋_GB2312"/>
                <w:sz w:val="24"/>
              </w:rPr>
              <w:t>6</w:t>
            </w:r>
            <w:r>
              <w:rPr>
                <w:rFonts w:hint="eastAsia" w:ascii="仿宋_GB2312" w:hAnsi="仿宋_GB2312" w:cs="仿宋_GB2312"/>
                <w:sz w:val="24"/>
              </w:rPr>
              <w:t>.项目促进区域经济发展、产业转型升级的情况。</w:t>
            </w:r>
          </w:p>
        </w:tc>
        <w:tc>
          <w:tcPr>
            <w:tcW w:w="328" w:type="pct"/>
            <w:vAlign w:val="center"/>
          </w:tcPr>
          <w:p>
            <w:pPr>
              <w:jc w:val="center"/>
              <w:rPr>
                <w:rFonts w:ascii="仿宋_GB2312" w:hAnsi="仿宋_GB2312" w:cs="仿宋_GB2312"/>
                <w:sz w:val="24"/>
              </w:rPr>
            </w:pPr>
            <w:r>
              <w:rPr>
                <w:rFonts w:hint="eastAsia" w:ascii="仿宋_GB2312" w:hAnsi="仿宋_GB2312" w:cs="仿宋_GB2312"/>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cs="仿宋_GB2312"/>
                <w:sz w:val="24"/>
              </w:rPr>
            </w:pPr>
            <w:r>
              <w:rPr>
                <w:rFonts w:hint="eastAsia" w:ascii="仿宋_GB2312" w:hAnsi="仿宋_GB2312" w:cs="仿宋_GB2312"/>
                <w:sz w:val="24"/>
              </w:rPr>
              <w:t>团队维度</w:t>
            </w:r>
          </w:p>
        </w:tc>
        <w:tc>
          <w:tcPr>
            <w:tcW w:w="4188" w:type="pct"/>
          </w:tcPr>
          <w:p>
            <w:pPr>
              <w:jc w:val="left"/>
              <w:rPr>
                <w:rFonts w:ascii="仿宋_GB2312" w:hAnsi="仿宋_GB2312" w:cs="仿宋_GB2312"/>
                <w:sz w:val="24"/>
              </w:rPr>
            </w:pPr>
            <w:r>
              <w:rPr>
                <w:rFonts w:ascii="仿宋_GB2312" w:hAnsi="仿宋_GB2312" w:cs="仿宋_GB2312"/>
                <w:sz w:val="24"/>
              </w:rPr>
              <w:t>1.团队的组成原则与过程是否科学合理</w:t>
            </w:r>
            <w:r>
              <w:rPr>
                <w:rFonts w:hint="eastAsia" w:ascii="仿宋_GB2312" w:hAnsi="仿宋_GB2312" w:cs="仿宋_GB2312"/>
                <w:sz w:val="24"/>
              </w:rPr>
              <w:t>；团队是否具有独特的支撑项目成长的知识、技能、经验以及成熟的外部资源网络；是否有明确的使命愿景。</w:t>
            </w:r>
          </w:p>
          <w:p>
            <w:pPr>
              <w:jc w:val="left"/>
              <w:rPr>
                <w:rFonts w:ascii="仿宋_GB2312" w:hAnsi="仿宋_GB2312" w:cs="仿宋_GB2312"/>
                <w:sz w:val="24"/>
              </w:rPr>
            </w:pPr>
            <w:r>
              <w:rPr>
                <w:rFonts w:ascii="仿宋_GB2312" w:hAnsi="仿宋_GB2312" w:cs="仿宋_GB2312"/>
                <w:sz w:val="24"/>
              </w:rPr>
              <w:t>2.公司是否具有</w:t>
            </w:r>
            <w:r>
              <w:rPr>
                <w:rFonts w:hint="eastAsia" w:ascii="仿宋_GB2312" w:hAnsi="仿宋_GB2312" w:cs="仿宋_GB2312"/>
                <w:sz w:val="24"/>
              </w:rPr>
              <w:t>合理的组织构架、清晰的指挥链、科学的决策机制；是否有合理的岗位设置、分工协作、专业能力结构；是否有良好的内部沟通机制；是否有合理的股权结构、激励制度等。</w:t>
            </w:r>
          </w:p>
          <w:p>
            <w:pPr>
              <w:jc w:val="left"/>
              <w:rPr>
                <w:rFonts w:ascii="仿宋_GB2312" w:hAnsi="仿宋_GB2312" w:cs="仿宋_GB2312"/>
                <w:sz w:val="24"/>
              </w:rPr>
            </w:pPr>
            <w:r>
              <w:rPr>
                <w:rFonts w:ascii="仿宋_GB2312" w:hAnsi="仿宋_GB2312" w:cs="仿宋_GB2312"/>
                <w:sz w:val="24"/>
              </w:rPr>
              <w:t>3.团队对项目的各项投入情况及团队成员的稳定性情况。</w:t>
            </w:r>
          </w:p>
          <w:p>
            <w:pPr>
              <w:jc w:val="left"/>
              <w:rPr>
                <w:rFonts w:ascii="仿宋_GB2312" w:hAnsi="仿宋_GB2312" w:cs="仿宋_GB2312"/>
                <w:sz w:val="24"/>
              </w:rPr>
            </w:pPr>
            <w:r>
              <w:rPr>
                <w:rFonts w:ascii="仿宋_GB2312" w:hAnsi="仿宋_GB2312" w:cs="仿宋_GB2312"/>
                <w:sz w:val="24"/>
              </w:rPr>
              <w:t>4.支撑公司发展的合作伙伴等外部资源的使用以及与公司关系的情况。</w:t>
            </w:r>
          </w:p>
        </w:tc>
        <w:tc>
          <w:tcPr>
            <w:tcW w:w="328" w:type="pct"/>
            <w:vAlign w:val="center"/>
          </w:tcPr>
          <w:p>
            <w:pPr>
              <w:jc w:val="center"/>
              <w:rPr>
                <w:rFonts w:ascii="仿宋_GB2312" w:hAnsi="仿宋_GB2312" w:cs="仿宋_GB2312"/>
                <w:sz w:val="24"/>
              </w:rPr>
            </w:pPr>
            <w:r>
              <w:rPr>
                <w:rFonts w:hint="eastAsia" w:ascii="仿宋_GB2312" w:hAnsi="仿宋_GB2312" w:cs="仿宋_GB2312"/>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cs="仿宋_GB2312"/>
                <w:sz w:val="24"/>
              </w:rPr>
            </w:pPr>
            <w:r>
              <w:rPr>
                <w:rFonts w:hint="eastAsia" w:ascii="仿宋_GB2312" w:hAnsi="仿宋_GB2312" w:cs="仿宋_GB2312"/>
                <w:sz w:val="24"/>
              </w:rPr>
              <w:t>创新维度</w:t>
            </w:r>
          </w:p>
        </w:tc>
        <w:tc>
          <w:tcPr>
            <w:tcW w:w="4188" w:type="pct"/>
          </w:tcPr>
          <w:p>
            <w:pPr>
              <w:jc w:val="left"/>
              <w:rPr>
                <w:rFonts w:ascii="仿宋_GB2312" w:hAnsi="仿宋_GB2312" w:cs="仿宋_GB2312"/>
                <w:sz w:val="24"/>
              </w:rPr>
            </w:pPr>
            <w:r>
              <w:rPr>
                <w:rFonts w:hint="eastAsia" w:ascii="仿宋_GB2312" w:hAnsi="仿宋_GB2312" w:cs="仿宋_GB2312"/>
                <w:sz w:val="24"/>
              </w:rPr>
              <w:t>1.具有原始创意、创造。</w:t>
            </w:r>
          </w:p>
          <w:p>
            <w:pPr>
              <w:jc w:val="left"/>
              <w:rPr>
                <w:rFonts w:ascii="仿宋_GB2312" w:hAnsi="仿宋_GB2312" w:cs="仿宋_GB2312"/>
                <w:sz w:val="24"/>
              </w:rPr>
            </w:pPr>
            <w:r>
              <w:rPr>
                <w:rFonts w:hint="eastAsia" w:ascii="仿宋_GB2312" w:hAnsi="仿宋_GB2312" w:cs="仿宋_GB2312"/>
                <w:sz w:val="24"/>
              </w:rPr>
              <w:t>2.具有面向培养“大国工匠”与能工巧匠的创意与创新。</w:t>
            </w:r>
          </w:p>
          <w:p>
            <w:pPr>
              <w:jc w:val="left"/>
              <w:rPr>
                <w:rFonts w:ascii="仿宋_GB2312" w:hAnsi="仿宋_GB2312" w:cs="仿宋_GB2312"/>
                <w:sz w:val="24"/>
              </w:rPr>
            </w:pPr>
            <w:r>
              <w:rPr>
                <w:rFonts w:hint="eastAsia" w:ascii="仿宋_GB2312" w:hAnsi="仿宋_GB2312" w:cs="仿宋_GB2312"/>
                <w:sz w:val="24"/>
              </w:rPr>
              <w:t>3.项目体现产教融合模式创新、校企合作模式创新、工学一体模式创新。</w:t>
            </w:r>
          </w:p>
          <w:p>
            <w:pPr>
              <w:jc w:val="left"/>
              <w:rPr>
                <w:rFonts w:ascii="仿宋_GB2312" w:hAnsi="仿宋_GB2312" w:cs="仿宋_GB2312"/>
                <w:sz w:val="24"/>
              </w:rPr>
            </w:pPr>
            <w:r>
              <w:rPr>
                <w:rFonts w:hint="eastAsia" w:ascii="仿宋_GB2312" w:hAnsi="仿宋_GB2312" w:cs="仿宋_GB2312"/>
                <w:sz w:val="24"/>
              </w:rPr>
              <w:t>4.鼓励面向职业和岗位的创意及创新，侧重于加工工艺创新、实用技术创新、产品（技术）改良、应用性优化、民生类创意等。</w:t>
            </w:r>
          </w:p>
        </w:tc>
        <w:tc>
          <w:tcPr>
            <w:tcW w:w="328" w:type="pct"/>
            <w:vAlign w:val="center"/>
          </w:tcPr>
          <w:p>
            <w:pPr>
              <w:jc w:val="center"/>
              <w:rPr>
                <w:rFonts w:ascii="仿宋_GB2312" w:hAnsi="仿宋_GB2312" w:cs="仿宋_GB2312"/>
                <w:sz w:val="24"/>
              </w:rPr>
            </w:pPr>
            <w:r>
              <w:rPr>
                <w:rFonts w:hint="eastAsia" w:ascii="仿宋_GB2312" w:hAnsi="仿宋_GB2312" w:cs="仿宋_GB2312"/>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cs="仿宋_GB2312"/>
                <w:sz w:val="24"/>
              </w:rPr>
            </w:pPr>
            <w:r>
              <w:rPr>
                <w:rFonts w:hint="eastAsia" w:ascii="仿宋_GB2312" w:hAnsi="仿宋_GB2312" w:cs="仿宋_GB2312"/>
                <w:sz w:val="24"/>
              </w:rPr>
              <w:t>社会价值维度</w:t>
            </w:r>
          </w:p>
        </w:tc>
        <w:tc>
          <w:tcPr>
            <w:tcW w:w="4188" w:type="pct"/>
          </w:tcPr>
          <w:p>
            <w:pPr>
              <w:jc w:val="left"/>
              <w:rPr>
                <w:rFonts w:ascii="仿宋_GB2312" w:hAnsi="仿宋_GB2312" w:cs="仿宋_GB2312"/>
                <w:sz w:val="24"/>
              </w:rPr>
            </w:pPr>
            <w:r>
              <w:rPr>
                <w:rFonts w:ascii="仿宋_GB2312" w:hAnsi="仿宋_GB2312" w:cs="仿宋_GB2312"/>
                <w:sz w:val="24"/>
              </w:rPr>
              <w:t>1.项目直接</w:t>
            </w:r>
            <w:r>
              <w:rPr>
                <w:rFonts w:hint="eastAsia" w:ascii="仿宋_GB2312" w:hAnsi="仿宋_GB2312" w:cs="仿宋_GB2312"/>
                <w:sz w:val="24"/>
              </w:rPr>
              <w:t>提供就业岗位的数量和质量。</w:t>
            </w:r>
          </w:p>
          <w:p>
            <w:pPr>
              <w:jc w:val="left"/>
              <w:rPr>
                <w:rFonts w:ascii="仿宋_GB2312" w:hAnsi="仿宋_GB2312" w:cs="仿宋_GB2312"/>
                <w:sz w:val="24"/>
              </w:rPr>
            </w:pPr>
            <w:r>
              <w:rPr>
                <w:rFonts w:ascii="仿宋_GB2312" w:hAnsi="仿宋_GB2312" w:cs="仿宋_GB2312"/>
                <w:sz w:val="24"/>
              </w:rPr>
              <w:t>2.项目间接带动就业的能力和规模。</w:t>
            </w:r>
          </w:p>
          <w:p>
            <w:pPr>
              <w:jc w:val="left"/>
              <w:rPr>
                <w:rFonts w:ascii="仿宋_GB2312" w:hAnsi="仿宋_GB2312" w:cs="仿宋_GB2312"/>
                <w:sz w:val="24"/>
              </w:rPr>
            </w:pPr>
            <w:r>
              <w:rPr>
                <w:rFonts w:ascii="仿宋_GB2312" w:hAnsi="仿宋_GB2312" w:cs="仿宋_GB2312"/>
                <w:sz w:val="24"/>
              </w:rPr>
              <w:t>3.项目对社会文明、生态文明、民生福祉等方面的积极推动作用。</w:t>
            </w:r>
          </w:p>
        </w:tc>
        <w:tc>
          <w:tcPr>
            <w:tcW w:w="328" w:type="pct"/>
            <w:vAlign w:val="center"/>
          </w:tcPr>
          <w:p>
            <w:pPr>
              <w:jc w:val="center"/>
              <w:rPr>
                <w:rFonts w:ascii="仿宋_GB2312" w:hAnsi="仿宋_GB2312" w:cs="仿宋_GB2312"/>
                <w:sz w:val="24"/>
              </w:rPr>
            </w:pPr>
            <w:r>
              <w:rPr>
                <w:rFonts w:hint="eastAsia" w:ascii="仿宋_GB2312" w:hAnsi="仿宋_GB2312" w:cs="仿宋_GB2312"/>
                <w:sz w:val="24"/>
              </w:rPr>
              <w:t>10</w:t>
            </w:r>
          </w:p>
        </w:tc>
      </w:tr>
    </w:tbl>
    <w:p>
      <w:pPr>
        <w:rPr>
          <w:rFonts w:ascii="仿宋_GB2312"/>
          <w:szCs w:val="32"/>
        </w:rPr>
        <w:sectPr>
          <w:pgSz w:w="11906" w:h="16838"/>
          <w:pgMar w:top="1440" w:right="1800" w:bottom="1440" w:left="1800" w:header="851" w:footer="992" w:gutter="0"/>
          <w:cols w:space="425" w:num="1"/>
          <w:docGrid w:type="lines" w:linePitch="312" w:charSpace="0"/>
        </w:sectPr>
      </w:pPr>
    </w:p>
    <w:p>
      <w:pPr>
        <w:rPr>
          <w:rFonts w:ascii="仿宋_GB2312"/>
          <w:sz w:val="40"/>
          <w:szCs w:val="32"/>
        </w:rPr>
      </w:pPr>
      <w:r>
        <w:rPr>
          <w:rFonts w:ascii="仿宋_GB2312"/>
          <w:szCs w:val="32"/>
        </w:rPr>
        <w:t>附件</w:t>
      </w:r>
      <w:r>
        <w:rPr>
          <w:rFonts w:hint="eastAsia" w:ascii="仿宋_GB2312"/>
          <w:szCs w:val="32"/>
        </w:rPr>
        <w:t xml:space="preserve">2： </w:t>
      </w:r>
      <w:r>
        <w:rPr>
          <w:rFonts w:ascii="仿宋_GB2312"/>
          <w:szCs w:val="32"/>
        </w:rPr>
        <w:t xml:space="preserve">             </w:t>
      </w:r>
      <w:r>
        <w:rPr>
          <w:rFonts w:hint="eastAsia" w:ascii="仿宋_GB2312"/>
          <w:sz w:val="40"/>
          <w:szCs w:val="32"/>
        </w:rPr>
        <w:t>青年红色之旅、职教赛道校赛决赛名单</w:t>
      </w:r>
    </w:p>
    <w:tbl>
      <w:tblPr>
        <w:tblStyle w:val="7"/>
        <w:tblW w:w="15026" w:type="dxa"/>
        <w:tblInd w:w="-459" w:type="dxa"/>
        <w:tblLayout w:type="autofit"/>
        <w:tblCellMar>
          <w:top w:w="0" w:type="dxa"/>
          <w:left w:w="108" w:type="dxa"/>
          <w:bottom w:w="0" w:type="dxa"/>
          <w:right w:w="108" w:type="dxa"/>
        </w:tblCellMar>
      </w:tblPr>
      <w:tblGrid>
        <w:gridCol w:w="851"/>
        <w:gridCol w:w="6379"/>
        <w:gridCol w:w="1559"/>
        <w:gridCol w:w="2126"/>
        <w:gridCol w:w="2552"/>
        <w:gridCol w:w="1559"/>
      </w:tblGrid>
      <w:tr>
        <w:tblPrEx>
          <w:tblCellMar>
            <w:top w:w="0" w:type="dxa"/>
            <w:left w:w="108" w:type="dxa"/>
            <w:bottom w:w="0" w:type="dxa"/>
            <w:right w:w="108" w:type="dxa"/>
          </w:tblCellMar>
        </w:tblPrEx>
        <w:trPr>
          <w:trHeight w:val="270" w:hRule="atLeast"/>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序号</w:t>
            </w:r>
          </w:p>
        </w:tc>
        <w:tc>
          <w:tcPr>
            <w:tcW w:w="637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项目名称</w:t>
            </w:r>
          </w:p>
        </w:tc>
        <w:tc>
          <w:tcPr>
            <w:tcW w:w="155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姓名</w:t>
            </w:r>
          </w:p>
        </w:tc>
        <w:tc>
          <w:tcPr>
            <w:tcW w:w="212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电话</w:t>
            </w:r>
          </w:p>
        </w:tc>
        <w:tc>
          <w:tcPr>
            <w:tcW w:w="255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学院</w:t>
            </w:r>
          </w:p>
        </w:tc>
        <w:tc>
          <w:tcPr>
            <w:tcW w:w="155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组别</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1</w:t>
            </w:r>
          </w:p>
        </w:tc>
        <w:tc>
          <w:tcPr>
            <w:tcW w:w="6379" w:type="dxa"/>
            <w:tcBorders>
              <w:top w:val="nil"/>
              <w:left w:val="nil"/>
              <w:bottom w:val="single" w:color="auto" w:sz="4" w:space="0"/>
              <w:right w:val="single" w:color="auto" w:sz="4" w:space="0"/>
            </w:tcBorders>
            <w:shd w:val="clear" w:color="auto" w:fill="auto"/>
            <w:noWrap/>
            <w:vAlign w:val="center"/>
          </w:tcPr>
          <w:p>
            <w:pPr>
              <w:widowControl/>
              <w:rPr>
                <w:rFonts w:ascii="宋体" w:hAnsi="宋体" w:eastAsia="宋体" w:cs="宋体"/>
                <w:kern w:val="0"/>
                <w:sz w:val="24"/>
              </w:rPr>
            </w:pPr>
            <w:r>
              <w:rPr>
                <w:rFonts w:hint="eastAsia" w:ascii="宋体" w:hAnsi="宋体" w:eastAsia="宋体" w:cs="宋体"/>
                <w:kern w:val="0"/>
                <w:sz w:val="24"/>
              </w:rPr>
              <w:t>科企汇—一个专注于科技成果转化的平台</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王廷</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13934516959</w:t>
            </w:r>
          </w:p>
        </w:tc>
        <w:tc>
          <w:tcPr>
            <w:tcW w:w="25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现代管理学院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创意组</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2</w:t>
            </w:r>
          </w:p>
        </w:tc>
        <w:tc>
          <w:tcPr>
            <w:tcW w:w="63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一站式多功能体检仪</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周世隆</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13262112503</w:t>
            </w:r>
          </w:p>
        </w:tc>
        <w:tc>
          <w:tcPr>
            <w:tcW w:w="25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现代管理学院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创意组</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3</w:t>
            </w:r>
          </w:p>
        </w:tc>
        <w:tc>
          <w:tcPr>
            <w:tcW w:w="63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多功能智能物流配送车</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王璐萍</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15617376386</w:t>
            </w:r>
          </w:p>
        </w:tc>
        <w:tc>
          <w:tcPr>
            <w:tcW w:w="25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现代管理学院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创意组</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4</w:t>
            </w:r>
          </w:p>
        </w:tc>
        <w:tc>
          <w:tcPr>
            <w:tcW w:w="63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策划书茶企传播方案</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张清琛</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15735975650</w:t>
            </w:r>
          </w:p>
        </w:tc>
        <w:tc>
          <w:tcPr>
            <w:tcW w:w="25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信息传媒艺术学院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创意组</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5</w:t>
            </w:r>
          </w:p>
        </w:tc>
        <w:tc>
          <w:tcPr>
            <w:tcW w:w="63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非遗手工艺坊</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艾如月</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13488675158</w:t>
            </w:r>
          </w:p>
        </w:tc>
        <w:tc>
          <w:tcPr>
            <w:tcW w:w="25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信息传媒艺术学院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创意组</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6</w:t>
            </w:r>
          </w:p>
        </w:tc>
        <w:tc>
          <w:tcPr>
            <w:tcW w:w="63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自媒体摄影知识分享</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许可凡</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15010806295</w:t>
            </w:r>
          </w:p>
        </w:tc>
        <w:tc>
          <w:tcPr>
            <w:tcW w:w="25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信息传媒艺术学院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创意组</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7</w:t>
            </w:r>
          </w:p>
        </w:tc>
        <w:tc>
          <w:tcPr>
            <w:tcW w:w="63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中药膳食改善计划</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王淇</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18810337802</w:t>
            </w:r>
          </w:p>
        </w:tc>
        <w:tc>
          <w:tcPr>
            <w:tcW w:w="25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国际学院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创意组</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8</w:t>
            </w:r>
          </w:p>
        </w:tc>
        <w:tc>
          <w:tcPr>
            <w:tcW w:w="63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养生茶创业：小红书账号的运营策略</w:t>
            </w:r>
          </w:p>
        </w:tc>
        <w:tc>
          <w:tcPr>
            <w:tcW w:w="1559" w:type="dxa"/>
            <w:tcBorders>
              <w:top w:val="nil"/>
              <w:left w:val="nil"/>
              <w:bottom w:val="nil"/>
              <w:right w:val="nil"/>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张泽航</w:t>
            </w:r>
          </w:p>
        </w:tc>
        <w:tc>
          <w:tcPr>
            <w:tcW w:w="2126" w:type="dxa"/>
            <w:tcBorders>
              <w:top w:val="nil"/>
              <w:left w:val="nil"/>
              <w:bottom w:val="nil"/>
              <w:right w:val="nil"/>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18910716908</w:t>
            </w:r>
          </w:p>
        </w:tc>
        <w:tc>
          <w:tcPr>
            <w:tcW w:w="255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信息传媒艺术学院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创意组</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9</w:t>
            </w:r>
          </w:p>
        </w:tc>
        <w:tc>
          <w:tcPr>
            <w:tcW w:w="63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ONLINE旅行口袋</w:t>
            </w:r>
          </w:p>
        </w:tc>
        <w:tc>
          <w:tcPr>
            <w:tcW w:w="155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赵悦</w:t>
            </w:r>
          </w:p>
        </w:tc>
        <w:tc>
          <w:tcPr>
            <w:tcW w:w="212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15810711560</w:t>
            </w:r>
          </w:p>
        </w:tc>
        <w:tc>
          <w:tcPr>
            <w:tcW w:w="25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国际学院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创意组</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10</w:t>
            </w:r>
          </w:p>
        </w:tc>
        <w:tc>
          <w:tcPr>
            <w:tcW w:w="63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智慧绿动——ai赋能，引领未来的互联网智能垃圾分类与管理革新之旅</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龚泽勤</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17807081791</w:t>
            </w:r>
          </w:p>
        </w:tc>
        <w:tc>
          <w:tcPr>
            <w:tcW w:w="25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现代管理学院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创意组</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11</w:t>
            </w:r>
          </w:p>
        </w:tc>
        <w:tc>
          <w:tcPr>
            <w:tcW w:w="63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中老年人科技设备信息及防网络诈骗知识普及班</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司雨墨</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c>
          <w:tcPr>
            <w:tcW w:w="25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青年工作学院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创意组</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12</w:t>
            </w:r>
          </w:p>
        </w:tc>
        <w:tc>
          <w:tcPr>
            <w:tcW w:w="63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路人甲探险记</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唐淏</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13701351803</w:t>
            </w:r>
          </w:p>
        </w:tc>
        <w:tc>
          <w:tcPr>
            <w:tcW w:w="25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信息传媒艺术学院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创意组</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13</w:t>
            </w:r>
          </w:p>
        </w:tc>
        <w:tc>
          <w:tcPr>
            <w:tcW w:w="63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启纯净鞋器创业策划</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康歆沂</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19270881083</w:t>
            </w:r>
          </w:p>
        </w:tc>
        <w:tc>
          <w:tcPr>
            <w:tcW w:w="25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国际学院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创业组</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14</w:t>
            </w:r>
          </w:p>
        </w:tc>
        <w:tc>
          <w:tcPr>
            <w:tcW w:w="63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无人洗衣店</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张岩</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18519514163</w:t>
            </w:r>
          </w:p>
        </w:tc>
        <w:tc>
          <w:tcPr>
            <w:tcW w:w="2552" w:type="dxa"/>
            <w:tcBorders>
              <w:top w:val="nil"/>
              <w:left w:val="nil"/>
              <w:bottom w:val="nil"/>
              <w:right w:val="nil"/>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青年工作学院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创意组</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15</w:t>
            </w:r>
          </w:p>
        </w:tc>
        <w:tc>
          <w:tcPr>
            <w:tcW w:w="637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第十六人格</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俞依菲</w:t>
            </w:r>
          </w:p>
        </w:tc>
        <w:tc>
          <w:tcPr>
            <w:tcW w:w="2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18370386996</w:t>
            </w:r>
          </w:p>
        </w:tc>
        <w:tc>
          <w:tcPr>
            <w:tcW w:w="255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信息传媒艺术学院</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rPr>
            </w:pPr>
            <w:r>
              <w:rPr>
                <w:rFonts w:hint="eastAsia" w:ascii="宋体" w:hAnsi="宋体" w:eastAsia="宋体" w:cs="宋体"/>
                <w:kern w:val="0"/>
                <w:sz w:val="24"/>
              </w:rPr>
              <w:t>创意组</w:t>
            </w:r>
          </w:p>
        </w:tc>
      </w:tr>
    </w:tbl>
    <w:p>
      <w:pPr>
        <w:rPr>
          <w:rFonts w:ascii="仿宋_GB2312"/>
          <w:szCs w:val="32"/>
        </w:rPr>
        <w:sectPr>
          <w:pgSz w:w="16838" w:h="11906" w:orient="landscape"/>
          <w:pgMar w:top="1701" w:right="1440" w:bottom="1701" w:left="1440" w:header="851" w:footer="992" w:gutter="0"/>
          <w:cols w:space="425" w:num="1"/>
          <w:docGrid w:type="lines" w:linePitch="312" w:charSpace="0"/>
        </w:sectPr>
      </w:pPr>
    </w:p>
    <w:p>
      <w:pPr>
        <w:rPr>
          <w:rFonts w:ascii="仿宋_GB2312"/>
          <w:szCs w:val="32"/>
        </w:rPr>
      </w:pPr>
      <w:r>
        <w:rPr>
          <w:rFonts w:hint="eastAsia" w:ascii="仿宋_GB2312"/>
          <w:szCs w:val="32"/>
        </w:rPr>
        <w:t xml:space="preserve">附件3： </w:t>
      </w:r>
      <w:r>
        <w:rPr>
          <w:rFonts w:ascii="仿宋_GB2312"/>
          <w:szCs w:val="32"/>
        </w:rPr>
        <w:t xml:space="preserve">                     </w:t>
      </w:r>
      <w:r>
        <w:rPr>
          <w:rFonts w:hint="eastAsia" w:ascii="仿宋_GB2312"/>
          <w:sz w:val="40"/>
          <w:szCs w:val="32"/>
        </w:rPr>
        <w:t>北青小屋校赛决赛名单</w:t>
      </w:r>
    </w:p>
    <w:p>
      <w:pPr>
        <w:rPr>
          <w:rFonts w:ascii="仿宋_GB2312"/>
          <w:szCs w:val="32"/>
        </w:rPr>
      </w:pPr>
    </w:p>
    <w:tbl>
      <w:tblPr>
        <w:tblStyle w:val="7"/>
        <w:tblW w:w="14459" w:type="dxa"/>
        <w:tblInd w:w="0" w:type="dxa"/>
        <w:tblLayout w:type="autofit"/>
        <w:tblCellMar>
          <w:top w:w="0" w:type="dxa"/>
          <w:left w:w="108" w:type="dxa"/>
          <w:bottom w:w="0" w:type="dxa"/>
          <w:right w:w="108" w:type="dxa"/>
        </w:tblCellMar>
      </w:tblPr>
      <w:tblGrid>
        <w:gridCol w:w="907"/>
        <w:gridCol w:w="2354"/>
        <w:gridCol w:w="1701"/>
        <w:gridCol w:w="2410"/>
        <w:gridCol w:w="2693"/>
        <w:gridCol w:w="4394"/>
      </w:tblGrid>
      <w:tr>
        <w:tblPrEx>
          <w:tblCellMar>
            <w:top w:w="0" w:type="dxa"/>
            <w:left w:w="108" w:type="dxa"/>
            <w:bottom w:w="0" w:type="dxa"/>
            <w:right w:w="108" w:type="dxa"/>
          </w:tblCellMar>
        </w:tblPrEx>
        <w:trPr>
          <w:trHeight w:val="270" w:hRule="atLeast"/>
        </w:trPr>
        <w:tc>
          <w:tcPr>
            <w:tcW w:w="90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序号</w:t>
            </w:r>
          </w:p>
        </w:tc>
        <w:tc>
          <w:tcPr>
            <w:tcW w:w="235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项目名称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姓名</w:t>
            </w:r>
          </w:p>
        </w:tc>
        <w:tc>
          <w:tcPr>
            <w:tcW w:w="241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电话</w:t>
            </w:r>
          </w:p>
        </w:tc>
        <w:tc>
          <w:tcPr>
            <w:tcW w:w="269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学院</w:t>
            </w:r>
          </w:p>
        </w:tc>
        <w:tc>
          <w:tcPr>
            <w:tcW w:w="439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专业</w:t>
            </w:r>
          </w:p>
        </w:tc>
      </w:tr>
      <w:tr>
        <w:tblPrEx>
          <w:tblCellMar>
            <w:top w:w="0" w:type="dxa"/>
            <w:left w:w="108" w:type="dxa"/>
            <w:bottom w:w="0" w:type="dxa"/>
            <w:right w:w="108" w:type="dxa"/>
          </w:tblCellMar>
        </w:tblPrEx>
        <w:trPr>
          <w:trHeight w:val="270" w:hRule="atLeast"/>
        </w:trPr>
        <w:tc>
          <w:tcPr>
            <w:tcW w:w="90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1</w:t>
            </w:r>
          </w:p>
        </w:tc>
        <w:tc>
          <w:tcPr>
            <w:tcW w:w="235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北青衍生产品</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刘靖萱</w:t>
            </w:r>
          </w:p>
        </w:tc>
        <w:tc>
          <w:tcPr>
            <w:tcW w:w="241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13811676487</w:t>
            </w:r>
          </w:p>
        </w:tc>
        <w:tc>
          <w:tcPr>
            <w:tcW w:w="26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信息传媒艺术学院</w:t>
            </w:r>
          </w:p>
        </w:tc>
        <w:tc>
          <w:tcPr>
            <w:tcW w:w="4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书画艺术</w:t>
            </w:r>
          </w:p>
        </w:tc>
      </w:tr>
      <w:tr>
        <w:tblPrEx>
          <w:tblCellMar>
            <w:top w:w="0" w:type="dxa"/>
            <w:left w:w="108" w:type="dxa"/>
            <w:bottom w:w="0" w:type="dxa"/>
            <w:right w:w="108" w:type="dxa"/>
          </w:tblCellMar>
        </w:tblPrEx>
        <w:trPr>
          <w:trHeight w:val="270" w:hRule="atLeast"/>
        </w:trPr>
        <w:tc>
          <w:tcPr>
            <w:tcW w:w="90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2</w:t>
            </w:r>
          </w:p>
        </w:tc>
        <w:tc>
          <w:tcPr>
            <w:tcW w:w="235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望京文创</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杨凯迪</w:t>
            </w:r>
          </w:p>
        </w:tc>
        <w:tc>
          <w:tcPr>
            <w:tcW w:w="241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18610454839</w:t>
            </w:r>
          </w:p>
        </w:tc>
        <w:tc>
          <w:tcPr>
            <w:tcW w:w="26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信息传媒艺术学院</w:t>
            </w:r>
          </w:p>
        </w:tc>
        <w:tc>
          <w:tcPr>
            <w:tcW w:w="4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新闻采编与制作</w:t>
            </w:r>
          </w:p>
        </w:tc>
      </w:tr>
      <w:tr>
        <w:tblPrEx>
          <w:tblCellMar>
            <w:top w:w="0" w:type="dxa"/>
            <w:left w:w="108" w:type="dxa"/>
            <w:bottom w:w="0" w:type="dxa"/>
            <w:right w:w="108" w:type="dxa"/>
          </w:tblCellMar>
        </w:tblPrEx>
        <w:trPr>
          <w:trHeight w:val="270" w:hRule="atLeast"/>
        </w:trPr>
        <w:tc>
          <w:tcPr>
            <w:tcW w:w="90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3</w:t>
            </w:r>
          </w:p>
        </w:tc>
        <w:tc>
          <w:tcPr>
            <w:tcW w:w="235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北青非遗体验馆</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成佳煊</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15934063667</w:t>
            </w:r>
          </w:p>
        </w:tc>
        <w:tc>
          <w:tcPr>
            <w:tcW w:w="26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国际学院</w:t>
            </w:r>
          </w:p>
        </w:tc>
        <w:tc>
          <w:tcPr>
            <w:tcW w:w="4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旅游英语（出入境服务与管理）</w:t>
            </w:r>
          </w:p>
        </w:tc>
      </w:tr>
      <w:tr>
        <w:tblPrEx>
          <w:tblCellMar>
            <w:top w:w="0" w:type="dxa"/>
            <w:left w:w="108" w:type="dxa"/>
            <w:bottom w:w="0" w:type="dxa"/>
            <w:right w:w="108" w:type="dxa"/>
          </w:tblCellMar>
        </w:tblPrEx>
        <w:trPr>
          <w:trHeight w:val="270" w:hRule="atLeast"/>
        </w:trPr>
        <w:tc>
          <w:tcPr>
            <w:tcW w:w="90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4</w:t>
            </w:r>
          </w:p>
        </w:tc>
        <w:tc>
          <w:tcPr>
            <w:tcW w:w="235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Bear Coffee</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宗宇航</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rPr>
            </w:pPr>
            <w:r>
              <w:rPr>
                <w:rFonts w:hint="eastAsia" w:ascii="宋体" w:hAnsi="宋体" w:eastAsia="宋体" w:cs="宋体"/>
                <w:kern w:val="0"/>
                <w:sz w:val="28"/>
              </w:rPr>
              <w:t>13241392354</w:t>
            </w:r>
          </w:p>
        </w:tc>
        <w:tc>
          <w:tcPr>
            <w:tcW w:w="26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青年工作学院</w:t>
            </w:r>
          </w:p>
        </w:tc>
        <w:tc>
          <w:tcPr>
            <w:tcW w:w="4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8"/>
              </w:rPr>
            </w:pPr>
            <w:r>
              <w:rPr>
                <w:rFonts w:hint="eastAsia" w:ascii="宋体" w:hAnsi="宋体" w:eastAsia="宋体" w:cs="宋体"/>
                <w:kern w:val="0"/>
                <w:sz w:val="28"/>
              </w:rPr>
              <w:t>青少年工作与管理</w:t>
            </w:r>
          </w:p>
        </w:tc>
      </w:tr>
      <w:tr>
        <w:tblPrEx>
          <w:tblCellMar>
            <w:top w:w="0" w:type="dxa"/>
            <w:left w:w="108" w:type="dxa"/>
            <w:bottom w:w="0" w:type="dxa"/>
            <w:right w:w="108" w:type="dxa"/>
          </w:tblCellMar>
        </w:tblPrEx>
        <w:trPr>
          <w:trHeight w:val="270" w:hRule="atLeast"/>
        </w:trPr>
        <w:tc>
          <w:tcPr>
            <w:tcW w:w="90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5</w:t>
            </w:r>
          </w:p>
        </w:tc>
        <w:tc>
          <w:tcPr>
            <w:tcW w:w="235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rPr>
            </w:pPr>
            <w:r>
              <w:rPr>
                <w:rFonts w:hint="eastAsia" w:ascii="宋体" w:hAnsi="宋体" w:eastAsia="宋体" w:cs="宋体"/>
                <w:color w:val="000000"/>
                <w:kern w:val="0"/>
                <w:sz w:val="28"/>
              </w:rPr>
              <w:t>北青小屋—拾香</w:t>
            </w:r>
          </w:p>
        </w:tc>
        <w:tc>
          <w:tcPr>
            <w:tcW w:w="1701"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kern w:val="0"/>
                <w:sz w:val="28"/>
              </w:rPr>
            </w:pPr>
            <w:r>
              <w:rPr>
                <w:rFonts w:hint="eastAsia" w:ascii="宋体" w:hAnsi="宋体" w:eastAsia="宋体" w:cs="宋体"/>
                <w:color w:val="000000"/>
                <w:kern w:val="0"/>
                <w:sz w:val="28"/>
              </w:rPr>
              <w:t>帅恬媛</w:t>
            </w:r>
          </w:p>
        </w:tc>
        <w:tc>
          <w:tcPr>
            <w:tcW w:w="241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kern w:val="0"/>
                <w:sz w:val="28"/>
              </w:rPr>
            </w:pPr>
            <w:r>
              <w:rPr>
                <w:rFonts w:hint="eastAsia" w:ascii="宋体" w:hAnsi="宋体" w:eastAsia="宋体" w:cs="宋体"/>
                <w:color w:val="000000"/>
                <w:kern w:val="0"/>
                <w:sz w:val="28"/>
              </w:rPr>
              <w:t>15010220632</w:t>
            </w:r>
          </w:p>
        </w:tc>
        <w:tc>
          <w:tcPr>
            <w:tcW w:w="2693"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kern w:val="0"/>
                <w:sz w:val="28"/>
              </w:rPr>
            </w:pPr>
            <w:r>
              <w:rPr>
                <w:rFonts w:hint="eastAsia" w:ascii="宋体" w:hAnsi="宋体" w:eastAsia="宋体" w:cs="宋体"/>
                <w:color w:val="000000"/>
                <w:kern w:val="0"/>
                <w:sz w:val="28"/>
              </w:rPr>
              <w:t>青年工作学院</w:t>
            </w:r>
          </w:p>
        </w:tc>
        <w:tc>
          <w:tcPr>
            <w:tcW w:w="4394"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kern w:val="0"/>
                <w:sz w:val="28"/>
              </w:rPr>
            </w:pPr>
            <w:r>
              <w:rPr>
                <w:rFonts w:hint="eastAsia" w:ascii="宋体" w:hAnsi="宋体" w:eastAsia="宋体" w:cs="宋体"/>
                <w:color w:val="000000"/>
                <w:kern w:val="0"/>
                <w:sz w:val="28"/>
              </w:rPr>
              <w:t>青少年工作与管理</w:t>
            </w:r>
          </w:p>
        </w:tc>
      </w:tr>
    </w:tbl>
    <w:p>
      <w:pPr>
        <w:rPr>
          <w:rFonts w:ascii="仿宋_GB2312"/>
          <w:szCs w:val="32"/>
        </w:rPr>
      </w:pPr>
    </w:p>
    <w:p>
      <w:pPr>
        <w:widowControl/>
        <w:ind w:firstLine="4818" w:firstLineChars="1721"/>
        <w:rPr>
          <w:rFonts w:ascii="仿宋" w:hAnsi="仿宋" w:eastAsia="仿宋" w:cs="仿宋"/>
          <w:sz w:val="28"/>
          <w:szCs w:val="28"/>
        </w:rPr>
      </w:pPr>
    </w:p>
    <w:sectPr>
      <w:footerReference r:id="rId3" w:type="default"/>
      <w:pgSz w:w="16838" w:h="11906" w:orient="landscape"/>
      <w:pgMar w:top="1797" w:right="1134" w:bottom="1797" w:left="1134"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063E56-8940-4E6B-A2A4-47617F5FFCB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ECEFE72-33D1-4B83-AB71-B266D4E27FB0}"/>
  </w:font>
  <w:font w:name="Arial">
    <w:panose1 w:val="020B0604020202020204"/>
    <w:charset w:val="00"/>
    <w:family w:val="swiss"/>
    <w:pitch w:val="default"/>
    <w:sig w:usb0="E0002EFF" w:usb1="C000785B" w:usb2="00000009" w:usb3="00000000" w:csb0="400001FF" w:csb1="FFFF0000"/>
  </w:font>
  <w:font w:name="方正小标宋简体">
    <w:panose1 w:val="02000000000000000000"/>
    <w:charset w:val="86"/>
    <w:family w:val="auto"/>
    <w:pitch w:val="default"/>
    <w:sig w:usb0="00000001" w:usb1="08000000" w:usb2="00000000" w:usb3="00000000" w:csb0="00040000" w:csb1="00000000"/>
    <w:embedRegular r:id="rId3" w:fontKey="{68276226-4C44-4DD5-B373-A0F513244BFD}"/>
  </w:font>
  <w:font w:name="仿宋">
    <w:panose1 w:val="02010609060101010101"/>
    <w:charset w:val="86"/>
    <w:family w:val="modern"/>
    <w:pitch w:val="default"/>
    <w:sig w:usb0="800002BF" w:usb1="38CF7CFA" w:usb2="00000016" w:usb3="00000000" w:csb0="00040001" w:csb1="00000000"/>
    <w:embedRegular r:id="rId4" w:fontKey="{7AE9DDF0-1769-4588-89E0-FC6C000526F1}"/>
  </w:font>
  <w:font w:name="方正仿宋_GB2312">
    <w:panose1 w:val="02000000000000000000"/>
    <w:charset w:val="86"/>
    <w:family w:val="auto"/>
    <w:pitch w:val="default"/>
    <w:sig w:usb0="A00002BF" w:usb1="184F6CFA" w:usb2="00000012" w:usb3="00000000" w:csb0="00040001" w:csb1="00000000"/>
    <w:embedRegular r:id="rId5" w:fontKey="{F3343BD8-A3B5-40D9-A3F4-3BEAFE38FA5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YzMwNzcyMWJhYzZiMzcyYzNmY2UwYzcyNmU1MzYifQ=="/>
  </w:docVars>
  <w:rsids>
    <w:rsidRoot w:val="3F0445A1"/>
    <w:rsid w:val="00000170"/>
    <w:rsid w:val="00002E74"/>
    <w:rsid w:val="000D4521"/>
    <w:rsid w:val="00107747"/>
    <w:rsid w:val="001256AA"/>
    <w:rsid w:val="00184400"/>
    <w:rsid w:val="00204BBE"/>
    <w:rsid w:val="002638B2"/>
    <w:rsid w:val="00331807"/>
    <w:rsid w:val="00337DEE"/>
    <w:rsid w:val="00343A2B"/>
    <w:rsid w:val="00383D10"/>
    <w:rsid w:val="00547B25"/>
    <w:rsid w:val="0067204C"/>
    <w:rsid w:val="006923FC"/>
    <w:rsid w:val="007872AB"/>
    <w:rsid w:val="007B2134"/>
    <w:rsid w:val="007C40DC"/>
    <w:rsid w:val="007D7D72"/>
    <w:rsid w:val="007E1027"/>
    <w:rsid w:val="008D1D62"/>
    <w:rsid w:val="008D6996"/>
    <w:rsid w:val="00960EA5"/>
    <w:rsid w:val="00961333"/>
    <w:rsid w:val="00A04371"/>
    <w:rsid w:val="00A12C1F"/>
    <w:rsid w:val="00A25A12"/>
    <w:rsid w:val="00B83C1B"/>
    <w:rsid w:val="00BA5022"/>
    <w:rsid w:val="00C93424"/>
    <w:rsid w:val="00D55520"/>
    <w:rsid w:val="00DA3DC9"/>
    <w:rsid w:val="00E939CA"/>
    <w:rsid w:val="00F0277F"/>
    <w:rsid w:val="00F91FB8"/>
    <w:rsid w:val="2A561AB0"/>
    <w:rsid w:val="2AD24AC6"/>
    <w:rsid w:val="36E078FE"/>
    <w:rsid w:val="3F0445A1"/>
    <w:rsid w:val="6DF212EA"/>
    <w:rsid w:val="737B0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b/>
      <w:bCs/>
      <w:kern w:val="44"/>
      <w:sz w:val="48"/>
      <w:szCs w:val="48"/>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alloon Text"/>
    <w:basedOn w:val="1"/>
    <w:link w:val="12"/>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rPr>
      <w:rFonts w:asciiTheme="minorHAnsi" w:hAnsiTheme="minorHAnsi" w:eastAsiaTheme="minorEastAsia" w:cstheme="minorBidi"/>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uiPriority w:val="0"/>
    <w:rPr>
      <w:rFonts w:eastAsia="仿宋_GB2312"/>
      <w:kern w:val="2"/>
      <w:sz w:val="18"/>
      <w:szCs w:val="18"/>
    </w:rPr>
  </w:style>
  <w:style w:type="paragraph" w:styleId="11">
    <w:name w:val="List Paragraph"/>
    <w:basedOn w:val="1"/>
    <w:uiPriority w:val="99"/>
    <w:pPr>
      <w:ind w:firstLine="420" w:firstLineChars="200"/>
    </w:pPr>
  </w:style>
  <w:style w:type="character" w:customStyle="1" w:styleId="12">
    <w:name w:val="批注框文本 Char"/>
    <w:basedOn w:val="9"/>
    <w:link w:val="4"/>
    <w:uiPriority w:val="0"/>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792B0F-0B96-43D5-ADE8-6297842A44A4}">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8</Pages>
  <Words>3532</Words>
  <Characters>3856</Characters>
  <Lines>29</Lines>
  <Paragraphs>8</Paragraphs>
  <TotalTime>0</TotalTime>
  <ScaleCrop>false</ScaleCrop>
  <LinksUpToDate>false</LinksUpToDate>
  <CharactersWithSpaces>3908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2024-01-10T07:17:00Z</dcterms:created>
  <dc:creator>zb</dc:creator>
  <cp:lastModifiedBy>晨儿宝</cp:lastModifiedBy>
  <dcterms:modified xsi:type="dcterms:W3CDTF">2024-05-24T06:20:40Z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0B2A06917889492A9D19700E8BED8132_11</vt:lpwstr>
  </property>
</Properties>
</file>