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5236" w:type="pct"/>
        <w:jc w:val="center"/>
        <w:tblBorders>
          <w:top w:val="none" w:color="auto" w:sz="0" w:space="0"/>
          <w:left w:val="none" w:color="auto" w:sz="0" w:space="0"/>
          <w:bottom w:val="single" w:color="FF0000" w:sz="1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761"/>
        <w:gridCol w:w="55"/>
      </w:tblGrid>
      <w:tr>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1" w:hRule="atLeast"/>
          <w:jc w:val="center"/>
        </w:trPr>
        <w:tc>
          <w:tcPr>
            <w:tcW w:w="5000" w:type="pct"/>
            <w:gridSpan w:val="2"/>
            <w:tcBorders>
              <w:top w:val="nil"/>
              <w:left w:val="nil"/>
              <w:bottom w:val="nil"/>
              <w:right w:val="nil"/>
            </w:tcBorders>
            <w:noWrap w:val="0"/>
            <w:vAlign w:val="center"/>
          </w:tcPr>
          <w:p>
            <w:pPr>
              <w:jc w:val="center"/>
              <w:rPr>
                <w:rFonts w:ascii="方正小标宋简体" w:hAnsi="宋体" w:eastAsia="方正小标宋简体"/>
                <w:bCs/>
                <w:color w:val="FF0000"/>
                <w:spacing w:val="10"/>
                <w:sz w:val="62"/>
                <w:szCs w:val="62"/>
              </w:rPr>
            </w:pPr>
            <w:r>
              <w:rPr>
                <w:rFonts w:hint="eastAsia" w:ascii="方正小标宋简体" w:hAnsi="宋体" w:eastAsia="方正小标宋简体"/>
                <w:color w:val="FF0000"/>
                <w:spacing w:val="0"/>
                <w:kern w:val="0"/>
                <w:sz w:val="64"/>
                <w:szCs w:val="64"/>
                <w:fitText w:val="9600" w:id="369915058"/>
              </w:rPr>
              <w:t>北京青年政治学院</w:t>
            </w:r>
            <w:r>
              <w:rPr>
                <w:rFonts w:hint="eastAsia" w:ascii="方正小标宋简体" w:hAnsi="宋体" w:eastAsia="方正小标宋简体"/>
                <w:color w:val="FF0000"/>
                <w:spacing w:val="0"/>
                <w:kern w:val="0"/>
                <w:sz w:val="64"/>
                <w:szCs w:val="64"/>
                <w:fitText w:val="9600" w:id="369915058"/>
                <w:lang w:val="en-US" w:eastAsia="zh-CN"/>
              </w:rPr>
              <w:t>招生就业处</w:t>
            </w:r>
            <w:r>
              <w:rPr>
                <w:rFonts w:hint="eastAsia" w:ascii="方正小标宋简体" w:hAnsi="宋体" w:eastAsia="方正小标宋简体"/>
                <w:color w:val="FF0000"/>
                <w:spacing w:val="0"/>
                <w:kern w:val="0"/>
                <w:sz w:val="64"/>
                <w:szCs w:val="64"/>
                <w:fitText w:val="9600" w:id="369915058"/>
              </w:rPr>
              <w:t>文件</w:t>
            </w:r>
          </w:p>
        </w:tc>
      </w:tr>
      <w:tr>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8" w:type="pct"/>
          <w:trHeight w:val="572" w:hRule="atLeast"/>
          <w:jc w:val="center"/>
        </w:trPr>
        <w:tc>
          <w:tcPr>
            <w:tcW w:w="4972" w:type="pct"/>
            <w:tcBorders>
              <w:top w:val="nil"/>
              <w:left w:val="nil"/>
              <w:bottom w:val="single" w:color="FF0000" w:sz="18" w:space="0"/>
              <w:right w:val="nil"/>
            </w:tcBorders>
            <w:noWrap w:val="0"/>
            <w:vAlign w:val="center"/>
          </w:tcPr>
          <w:p>
            <w:pPr>
              <w:jc w:val="center"/>
              <w:rPr>
                <w:rFonts w:ascii="仿宋_GB2312" w:hAnsi="宋体" w:eastAsia="仿宋_GB2312" w:cs="仿宋_GB2312"/>
                <w:sz w:val="32"/>
                <w:szCs w:val="32"/>
              </w:rPr>
            </w:pPr>
          </w:p>
          <w:p>
            <w:pPr>
              <w:jc w:val="center"/>
              <w:rPr>
                <w:rFonts w:ascii="仿宋_GB2312" w:hAnsi="宋体" w:eastAsia="仿宋_GB2312"/>
                <w:sz w:val="32"/>
                <w:szCs w:val="32"/>
              </w:rPr>
            </w:pPr>
            <w:r>
              <w:rPr>
                <w:rFonts w:hint="eastAsia" w:ascii="仿宋_GB2312" w:hAnsi="宋体" w:eastAsia="仿宋_GB2312" w:cs="仿宋_GB2312"/>
                <w:sz w:val="32"/>
                <w:szCs w:val="32"/>
              </w:rPr>
              <w:t>院</w:t>
            </w:r>
            <w:r>
              <w:rPr>
                <w:rFonts w:hint="eastAsia" w:ascii="仿宋_GB2312" w:hAnsi="宋体" w:eastAsia="仿宋_GB2312" w:cs="仿宋_GB2312"/>
                <w:sz w:val="32"/>
                <w:szCs w:val="32"/>
                <w:lang w:val="en-US" w:eastAsia="zh-CN"/>
              </w:rPr>
              <w:t>招就</w:t>
            </w:r>
            <w:r>
              <w:rPr>
                <w:rFonts w:hint="eastAsia" w:ascii="仿宋_GB2312" w:hAnsi="宋体" w:eastAsia="仿宋_GB2312" w:cs="仿宋_GB2312"/>
                <w:sz w:val="32"/>
                <w:szCs w:val="32"/>
              </w:rPr>
              <w:t>发〔2023〕</w:t>
            </w:r>
            <w:r>
              <w:rPr>
                <w:rFonts w:hint="eastAsia" w:ascii="仿宋_GB2312" w:hAnsi="宋体" w:eastAsia="仿宋_GB2312" w:cs="仿宋_GB2312"/>
                <w:sz w:val="32"/>
                <w:szCs w:val="32"/>
                <w:lang w:val="en-US" w:eastAsia="zh-CN"/>
              </w:rPr>
              <w:t>8</w:t>
            </w:r>
            <w:r>
              <w:rPr>
                <w:rFonts w:hint="eastAsia" w:ascii="仿宋_GB2312" w:hAnsi="宋体" w:eastAsia="仿宋_GB2312" w:cs="仿宋_GB2312"/>
                <w:sz w:val="32"/>
                <w:szCs w:val="32"/>
              </w:rPr>
              <w:t>号</w:t>
            </w:r>
          </w:p>
        </w:tc>
      </w:tr>
    </w:tbl>
    <w:p>
      <w:pPr>
        <w:jc w:val="center"/>
        <w:rPr>
          <w:rFonts w:hint="eastAsia"/>
          <w:sz w:val="44"/>
          <w:szCs w:val="44"/>
          <w:lang w:val="en-US" w:eastAsia="zh-CN"/>
        </w:rPr>
      </w:pPr>
    </w:p>
    <w:p>
      <w:pPr>
        <w:jc w:val="center"/>
        <w:rPr>
          <w:rFonts w:hint="default"/>
          <w:sz w:val="44"/>
          <w:szCs w:val="44"/>
          <w:lang w:val="en-US" w:eastAsia="zh-CN"/>
        </w:rPr>
      </w:pPr>
      <w:r>
        <w:rPr>
          <w:rFonts w:hint="eastAsia" w:ascii="方正小标宋简体" w:hAnsi="华文中宋" w:eastAsia="方正小标宋简体" w:cs="Times New Roman"/>
          <w:color w:val="000000"/>
          <w:sz w:val="44"/>
          <w:szCs w:val="44"/>
          <w:lang w:val="en-US" w:eastAsia="zh-CN"/>
        </w:rPr>
        <w:t>北京青年政治学院毕业生就业服务细则</w:t>
      </w:r>
    </w:p>
    <w:p>
      <w:pPr>
        <w:rPr>
          <w:rFonts w:hint="eastAsia"/>
          <w:lang w:val="en-US" w:eastAsia="zh-CN"/>
        </w:rPr>
      </w:pPr>
    </w:p>
    <w:p>
      <w:pPr>
        <w:widowControl w:val="0"/>
        <w:spacing w:line="500" w:lineRule="exact"/>
        <w:jc w:val="center"/>
        <w:rPr>
          <w:rFonts w:ascii="仿宋_GB2312" w:hAnsi="仿宋" w:eastAsia="仿宋_GB2312" w:cs="仿宋"/>
          <w:sz w:val="32"/>
          <w:szCs w:val="32"/>
          <w:highlight w:val="none"/>
        </w:rPr>
      </w:pPr>
    </w:p>
    <w:p>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ascii="仿宋_GB2312" w:hAnsi="仿宋" w:eastAsia="仿宋_GB2312" w:cs="仿宋"/>
          <w:color w:val="auto"/>
          <w:sz w:val="32"/>
          <w:szCs w:val="32"/>
          <w:highlight w:val="none"/>
        </w:rPr>
      </w:pPr>
      <w:r>
        <w:rPr>
          <w:rFonts w:hint="eastAsia" w:ascii="仿宋_GB2312" w:hAnsi="宋体" w:eastAsia="仿宋_GB2312"/>
          <w:color w:val="auto"/>
          <w:sz w:val="32"/>
          <w:szCs w:val="32"/>
          <w:highlight w:val="none"/>
        </w:rPr>
        <w:t>党的二十大明确指出，人才是第一资源，实施就业优先战略，强化就业优先政策，健全就业促进机制，促进高质量充分就业。高校毕业生是国家宝贵的人才资源，是促进就业的重要群体。为深入学习贯彻党的二十大精神，全面落实党中央、国务院对高校毕业生就业创业工作的决策部署，</w:t>
      </w:r>
      <w:r>
        <w:rPr>
          <w:rFonts w:hint="eastAsia" w:ascii="仿宋_GB2312" w:hAnsi="仿宋" w:eastAsia="仿宋_GB2312" w:cs="仿宋"/>
          <w:color w:val="auto"/>
          <w:sz w:val="32"/>
          <w:szCs w:val="32"/>
          <w:highlight w:val="none"/>
        </w:rPr>
        <w:t>根据</w:t>
      </w:r>
      <w:r>
        <w:rPr>
          <w:rFonts w:hint="eastAsia" w:ascii="仿宋_GB2312" w:hAnsi="仿宋" w:eastAsia="仿宋_GB2312" w:cs="仿宋"/>
          <w:color w:val="auto"/>
          <w:sz w:val="32"/>
          <w:szCs w:val="32"/>
          <w:highlight w:val="none"/>
          <w:lang w:val="en-US" w:eastAsia="zh-CN"/>
        </w:rPr>
        <w:t>上级</w:t>
      </w:r>
      <w:r>
        <w:rPr>
          <w:rFonts w:hint="eastAsia" w:ascii="仿宋_GB2312" w:hAnsi="仿宋" w:eastAsia="仿宋_GB2312" w:cs="仿宋"/>
          <w:color w:val="auto"/>
          <w:sz w:val="32"/>
          <w:szCs w:val="32"/>
          <w:highlight w:val="none"/>
        </w:rPr>
        <w:t>要求，结合我院实际，制定北京青年政治学院毕业生就业</w:t>
      </w:r>
      <w:r>
        <w:rPr>
          <w:rFonts w:hint="eastAsia" w:ascii="仿宋_GB2312" w:hAnsi="仿宋" w:eastAsia="仿宋_GB2312" w:cs="仿宋"/>
          <w:color w:val="auto"/>
          <w:sz w:val="32"/>
          <w:szCs w:val="32"/>
          <w:highlight w:val="none"/>
          <w:lang w:val="en-US" w:eastAsia="zh-CN"/>
        </w:rPr>
        <w:t>服务细则</w:t>
      </w:r>
      <w:r>
        <w:rPr>
          <w:rFonts w:hint="eastAsia" w:ascii="仿宋_GB2312" w:hAnsi="仿宋" w:eastAsia="仿宋_GB2312" w:cs="仿宋"/>
          <w:color w:val="auto"/>
          <w:sz w:val="32"/>
          <w:szCs w:val="32"/>
          <w:highlight w:val="none"/>
        </w:rPr>
        <w:t>。</w:t>
      </w:r>
    </w:p>
    <w:p>
      <w:pPr>
        <w:pStyle w:val="5"/>
        <w:numPr>
          <w:ilvl w:val="0"/>
          <w:numId w:val="1"/>
        </w:numPr>
        <w:spacing w:line="560" w:lineRule="exact"/>
        <w:ind w:left="0" w:leftChars="0" w:firstLine="420" w:firstLineChars="0"/>
        <w:jc w:val="center"/>
        <w:rPr>
          <w:rFonts w:hint="eastAsia" w:hAnsi="Times New Roman"/>
          <w:sz w:val="32"/>
          <w:szCs w:val="32"/>
        </w:rPr>
      </w:pPr>
      <w:r>
        <w:rPr>
          <w:rFonts w:hint="eastAsia" w:hAnsi="Times New Roman"/>
          <w:sz w:val="32"/>
          <w:szCs w:val="32"/>
          <w:lang w:val="en-US" w:eastAsia="zh-CN"/>
        </w:rPr>
        <w:t>服务体系</w:t>
      </w:r>
      <w:r>
        <w:rPr>
          <w:rFonts w:hint="eastAsia" w:hAnsi="Times New Roman"/>
          <w:sz w:val="32"/>
          <w:szCs w:val="32"/>
        </w:rPr>
        <w:t>目标</w:t>
      </w:r>
    </w:p>
    <w:p>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rPr>
        <w:t>坚持就业育人导向，加强组织领导，建立就业反馈机制，健全就业工作队伍，全面动员，压实责任，提升就业创业指导质量和实效，大力开拓就业岗位，支持自主创业，精准开展重点群体就业帮扶，确保学院毕业生就业去向落实率基本稳定，实现更高质量充分就业。</w:t>
      </w:r>
    </w:p>
    <w:p>
      <w:pPr>
        <w:pStyle w:val="5"/>
        <w:numPr>
          <w:ilvl w:val="0"/>
          <w:numId w:val="1"/>
        </w:numPr>
        <w:spacing w:line="560" w:lineRule="exact"/>
        <w:ind w:left="0" w:leftChars="0" w:firstLine="420" w:firstLineChars="0"/>
        <w:jc w:val="center"/>
        <w:rPr>
          <w:rFonts w:hint="eastAsia" w:hAnsi="Times New Roman"/>
          <w:sz w:val="32"/>
          <w:szCs w:val="32"/>
        </w:rPr>
      </w:pPr>
      <w:r>
        <w:rPr>
          <w:rFonts w:hint="eastAsia" w:hAnsi="Times New Roman"/>
          <w:sz w:val="32"/>
          <w:szCs w:val="32"/>
        </w:rPr>
        <w:t>组织领导</w:t>
      </w:r>
      <w:r>
        <w:rPr>
          <w:rFonts w:hint="eastAsia" w:hAnsi="Times New Roman"/>
          <w:sz w:val="32"/>
          <w:szCs w:val="32"/>
          <w:lang w:val="en-US" w:eastAsia="zh-CN"/>
        </w:rPr>
        <w:t>体系</w:t>
      </w:r>
      <w:r>
        <w:rPr>
          <w:rFonts w:hint="eastAsia" w:hAnsi="Times New Roman"/>
          <w:sz w:val="32"/>
          <w:szCs w:val="32"/>
        </w:rPr>
        <w:t> </w:t>
      </w:r>
    </w:p>
    <w:p>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rPr>
        <w:t>落实就业工作“一把手工程”，进一步完善“学院党委领导、招生就业处组织、二级学院负责、其他部门协同、全员全程参与”的</w:t>
      </w:r>
      <w:r>
        <w:rPr>
          <w:rFonts w:hint="eastAsia" w:ascii="仿宋_GB2312" w:hAnsi="仿宋" w:eastAsia="仿宋_GB2312" w:cs="仿宋"/>
          <w:color w:val="auto"/>
          <w:sz w:val="32"/>
          <w:szCs w:val="32"/>
          <w:highlight w:val="none"/>
          <w:lang w:val="en-US" w:eastAsia="zh-CN"/>
        </w:rPr>
        <w:t>组织领导</w:t>
      </w:r>
      <w:r>
        <w:rPr>
          <w:rFonts w:hint="eastAsia" w:ascii="仿宋_GB2312" w:hAnsi="仿宋" w:eastAsia="仿宋_GB2312" w:cs="仿宋"/>
          <w:color w:val="auto"/>
          <w:sz w:val="32"/>
          <w:szCs w:val="32"/>
          <w:highlight w:val="none"/>
        </w:rPr>
        <w:t>体系。</w:t>
      </w:r>
    </w:p>
    <w:p>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rPr>
        <w:t>1.学院成立就业工作领导小组，由学院党委书记和院长担任组长，主管就业工作副院长担任副组长，成员包括学院领导班子其他成员，招生就业处、学生处、教务处负责人，二级学院党总支书记，领导小组办公室设在招生就业处。</w:t>
      </w:r>
    </w:p>
    <w:p>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ascii="仿宋_GB2312" w:hAnsi="仿宋" w:eastAsia="仿宋_GB2312" w:cs="仿宋"/>
          <w:color w:val="auto"/>
          <w:sz w:val="32"/>
          <w:szCs w:val="32"/>
          <w:highlight w:val="none"/>
          <w:u w:val="none"/>
        </w:rPr>
      </w:pPr>
      <w:r>
        <w:rPr>
          <w:rFonts w:hint="eastAsia" w:ascii="仿宋_GB2312" w:hAnsi="仿宋" w:eastAsia="仿宋_GB2312" w:cs="仿宋"/>
          <w:color w:val="auto"/>
          <w:sz w:val="32"/>
          <w:szCs w:val="32"/>
          <w:highlight w:val="none"/>
        </w:rPr>
        <w:t>2.招生就业处按照学院就业工作领导小组的部署组织开展全院的就业创业工作，研究政策措施，统筹协调资源，加强监督管理；就业指导中心继续强化就业创业指导与服务，及时宣传就业创业政策，办理毕业手续，逐步完善就业数据统计与分析；</w:t>
      </w:r>
      <w:r>
        <w:rPr>
          <w:rFonts w:hint="eastAsia" w:ascii="仿宋_GB2312" w:hAnsi="仿宋" w:eastAsia="仿宋_GB2312" w:cs="仿宋"/>
          <w:color w:val="auto"/>
          <w:sz w:val="32"/>
          <w:szCs w:val="32"/>
          <w:highlight w:val="none"/>
          <w:u w:val="none"/>
        </w:rPr>
        <w:t>职业生涯规划教研室成员由各二级学院书记、副书记、辅导员及部分符合条件的校内外专家组成，负责课程开发、就业创业政策培训、接待学生咨询、就业创业问题研究等工作。</w:t>
      </w:r>
    </w:p>
    <w:p>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rPr>
        <w:t>3.各二级学院成立就业工作专班落实就业工作主体责任，建立书记负责、副书记主抓、领导班子配合，全员参与的就业工作体系，具体实施各项就业创业工作；进一步压实毕业生就业教师包干责任制，为每名毕业生配备就业指导教师，实现“一对一”全程就业指导、跟踪与服务，全力实现就业工作目标。</w:t>
      </w:r>
    </w:p>
    <w:p>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rPr>
        <w:t>4.全院相关部门应主动发挥各自优势，为毕业生就业提供资源与服务。在学院内形成全员、全过程、全方位参与毕业生就业创业工作的新局面。</w:t>
      </w:r>
    </w:p>
    <w:p>
      <w:pPr>
        <w:pStyle w:val="5"/>
        <w:numPr>
          <w:ilvl w:val="0"/>
          <w:numId w:val="1"/>
        </w:numPr>
        <w:spacing w:line="560" w:lineRule="exact"/>
        <w:ind w:left="0" w:leftChars="0" w:firstLine="420" w:firstLineChars="0"/>
        <w:jc w:val="center"/>
        <w:rPr>
          <w:rFonts w:hint="eastAsia" w:hAnsi="Times New Roman"/>
          <w:sz w:val="32"/>
          <w:szCs w:val="32"/>
          <w:lang w:val="en-US" w:eastAsia="zh-CN"/>
        </w:rPr>
      </w:pPr>
      <w:r>
        <w:rPr>
          <w:rFonts w:hint="eastAsia" w:hAnsi="Times New Roman"/>
          <w:sz w:val="32"/>
          <w:szCs w:val="32"/>
        </w:rPr>
        <w:t>工作</w:t>
      </w:r>
      <w:r>
        <w:rPr>
          <w:rFonts w:hint="eastAsia" w:hAnsi="Times New Roman"/>
          <w:sz w:val="32"/>
          <w:szCs w:val="32"/>
          <w:lang w:val="en-US" w:eastAsia="zh-CN"/>
        </w:rPr>
        <w:t>内容</w:t>
      </w:r>
    </w:p>
    <w:p>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rPr>
        <w:t>1.深化访企拓岗促就业专项行动，充分发挥中小企业吸纳就业作用，做好校园招聘工作。</w:t>
      </w:r>
      <w:r>
        <w:rPr>
          <w:rFonts w:ascii="仿宋_GB2312" w:hAnsi="仿宋" w:eastAsia="仿宋_GB2312" w:cs="仿宋"/>
          <w:color w:val="auto"/>
          <w:sz w:val="32"/>
          <w:szCs w:val="32"/>
          <w:highlight w:val="none"/>
        </w:rPr>
        <w:t>强化全员抓就业理念</w:t>
      </w:r>
      <w:r>
        <w:rPr>
          <w:rFonts w:hint="eastAsia" w:ascii="仿宋_GB2312" w:hAnsi="仿宋" w:eastAsia="仿宋_GB2312" w:cs="仿宋"/>
          <w:color w:val="auto"/>
          <w:sz w:val="32"/>
          <w:szCs w:val="32"/>
          <w:highlight w:val="none"/>
        </w:rPr>
        <w:t>，</w:t>
      </w:r>
      <w:r>
        <w:rPr>
          <w:rFonts w:ascii="仿宋_GB2312" w:hAnsi="仿宋" w:eastAsia="仿宋_GB2312" w:cs="仿宋"/>
          <w:color w:val="auto"/>
          <w:sz w:val="32"/>
          <w:szCs w:val="32"/>
          <w:highlight w:val="none"/>
        </w:rPr>
        <w:t>常态化开展访企</w:t>
      </w:r>
      <w:r>
        <w:rPr>
          <w:rFonts w:hint="eastAsia" w:ascii="仿宋_GB2312" w:hAnsi="仿宋" w:eastAsia="仿宋_GB2312" w:cs="仿宋"/>
          <w:color w:val="auto"/>
          <w:sz w:val="32"/>
          <w:szCs w:val="32"/>
          <w:highlight w:val="none"/>
        </w:rPr>
        <w:t>拓</w:t>
      </w:r>
      <w:r>
        <w:rPr>
          <w:rFonts w:ascii="仿宋_GB2312" w:hAnsi="仿宋" w:eastAsia="仿宋_GB2312" w:cs="仿宋"/>
          <w:color w:val="auto"/>
          <w:sz w:val="32"/>
          <w:szCs w:val="32"/>
          <w:highlight w:val="none"/>
        </w:rPr>
        <w:t>岗促就业专项行动</w:t>
      </w:r>
      <w:r>
        <w:rPr>
          <w:rFonts w:hint="eastAsia" w:ascii="仿宋_GB2312" w:hAnsi="仿宋" w:eastAsia="仿宋_GB2312" w:cs="仿宋"/>
          <w:color w:val="auto"/>
          <w:sz w:val="32"/>
          <w:szCs w:val="32"/>
          <w:highlight w:val="none"/>
        </w:rPr>
        <w:t>，</w:t>
      </w:r>
      <w:r>
        <w:rPr>
          <w:rFonts w:ascii="仿宋_GB2312" w:hAnsi="仿宋" w:eastAsia="仿宋_GB2312" w:cs="仿宋"/>
          <w:color w:val="auto"/>
          <w:sz w:val="32"/>
          <w:szCs w:val="32"/>
          <w:highlight w:val="none"/>
        </w:rPr>
        <w:t>动员学校教师</w:t>
      </w:r>
      <w:r>
        <w:rPr>
          <w:rFonts w:hint="eastAsia" w:ascii="仿宋_GB2312" w:hAnsi="仿宋" w:eastAsia="仿宋_GB2312" w:cs="仿宋"/>
          <w:color w:val="auto"/>
          <w:sz w:val="32"/>
          <w:szCs w:val="32"/>
          <w:highlight w:val="none"/>
        </w:rPr>
        <w:t>、</w:t>
      </w:r>
      <w:r>
        <w:rPr>
          <w:rFonts w:ascii="仿宋_GB2312" w:hAnsi="仿宋" w:eastAsia="仿宋_GB2312" w:cs="仿宋"/>
          <w:color w:val="auto"/>
          <w:sz w:val="32"/>
          <w:szCs w:val="32"/>
          <w:highlight w:val="none"/>
        </w:rPr>
        <w:t>干部</w:t>
      </w:r>
      <w:r>
        <w:rPr>
          <w:rFonts w:hint="eastAsia" w:ascii="仿宋_GB2312" w:hAnsi="仿宋" w:eastAsia="仿宋_GB2312" w:cs="仿宋"/>
          <w:color w:val="auto"/>
          <w:sz w:val="32"/>
          <w:szCs w:val="32"/>
          <w:highlight w:val="none"/>
        </w:rPr>
        <w:t>、</w:t>
      </w:r>
      <w:r>
        <w:rPr>
          <w:rFonts w:ascii="仿宋_GB2312" w:hAnsi="仿宋" w:eastAsia="仿宋_GB2312" w:cs="仿宋"/>
          <w:color w:val="auto"/>
          <w:sz w:val="32"/>
          <w:szCs w:val="32"/>
          <w:highlight w:val="none"/>
        </w:rPr>
        <w:t>校友等资源</w:t>
      </w:r>
      <w:r>
        <w:rPr>
          <w:rFonts w:hint="eastAsia" w:ascii="仿宋_GB2312" w:hAnsi="仿宋" w:eastAsia="仿宋_GB2312" w:cs="仿宋"/>
          <w:color w:val="auto"/>
          <w:sz w:val="32"/>
          <w:szCs w:val="32"/>
          <w:highlight w:val="none"/>
        </w:rPr>
        <w:t>，</w:t>
      </w:r>
      <w:r>
        <w:rPr>
          <w:rFonts w:ascii="仿宋_GB2312" w:hAnsi="仿宋" w:eastAsia="仿宋_GB2312" w:cs="仿宋"/>
          <w:color w:val="auto"/>
          <w:sz w:val="32"/>
          <w:szCs w:val="32"/>
          <w:highlight w:val="none"/>
        </w:rPr>
        <w:t>联系走访用人单位</w:t>
      </w:r>
      <w:r>
        <w:rPr>
          <w:rFonts w:hint="eastAsia" w:ascii="仿宋_GB2312" w:hAnsi="仿宋" w:eastAsia="仿宋_GB2312" w:cs="仿宋"/>
          <w:color w:val="auto"/>
          <w:sz w:val="32"/>
          <w:szCs w:val="32"/>
          <w:highlight w:val="none"/>
        </w:rPr>
        <w:t>。着力开拓市场化岗位，举办“中小企业人才供需对接会”“民企高校携手促就业”等活动。充分发挥校园招聘主渠道作用，创造条件主动邀请用人单位进校招聘，支持二级学院开展小而精、专而优的小型专场招聘活动。督促毕业班辅导员和求职毕业生注册使用“24365智慧就业平台”，加强线上线下就业市场联动。积极挖掘新产业新业态新模式中的就业机会，引导毕业生在数字经济、平台经济等多个领域灵活就业。</w:t>
      </w:r>
    </w:p>
    <w:p>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rPr>
        <w:t>2.加强追踪调查工作，</w:t>
      </w:r>
      <w:r>
        <w:rPr>
          <w:rFonts w:hint="eastAsia" w:ascii="仿宋_GB2312" w:hAnsi="仿宋" w:eastAsia="仿宋_GB2312" w:cs="仿宋"/>
          <w:color w:val="auto"/>
          <w:sz w:val="32"/>
          <w:szCs w:val="32"/>
          <w:highlight w:val="none"/>
          <w:lang w:val="en-US" w:eastAsia="zh-CN"/>
        </w:rPr>
        <w:t>为学院决策提供有效的</w:t>
      </w:r>
      <w:r>
        <w:rPr>
          <w:rFonts w:hint="eastAsia" w:ascii="仿宋_GB2312" w:hAnsi="仿宋" w:eastAsia="仿宋_GB2312" w:cs="仿宋"/>
          <w:color w:val="auto"/>
          <w:sz w:val="32"/>
          <w:szCs w:val="32"/>
          <w:highlight w:val="none"/>
        </w:rPr>
        <w:t>就业数据。实行就业去向落实率的红黄牌提示制度，引导二级学院重点布局社会需求强、就业前景广、人才缺口大的专业，及时更新升级或淘汰已经不适应社会需要的专业。将毕业生就业状况作为特高校建设成效评价、专业设置和评估、招生计划安排等工作的重要依据，完善就业与招生、培养联动的有效机制，推进招生、培养、就业一体化建设。</w:t>
      </w:r>
    </w:p>
    <w:p>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rPr>
        <w:t>3.全面加强就业指导，深入推进就业育人。优化就业指导教师队伍结构，二级学院学生工作</w:t>
      </w:r>
      <w:r>
        <w:rPr>
          <w:rFonts w:hint="eastAsia" w:ascii="仿宋_GB2312" w:hAnsi="仿宋" w:eastAsia="仿宋_GB2312" w:cs="仿宋"/>
          <w:color w:val="auto"/>
          <w:sz w:val="32"/>
          <w:szCs w:val="32"/>
          <w:highlight w:val="none"/>
          <w:lang w:eastAsia="zh-CN"/>
        </w:rPr>
        <w:t>队伍，结合本院实际就业情况，</w:t>
      </w:r>
      <w:r>
        <w:rPr>
          <w:rFonts w:hint="eastAsia" w:ascii="仿宋_GB2312" w:hAnsi="仿宋" w:eastAsia="仿宋_GB2312" w:cs="仿宋"/>
          <w:color w:val="auto"/>
          <w:sz w:val="32"/>
          <w:szCs w:val="32"/>
          <w:highlight w:val="none"/>
        </w:rPr>
        <w:t>讲授职业生涯规划类课程，同时引进校内外专家参与。</w:t>
      </w:r>
      <w:r>
        <w:rPr>
          <w:rFonts w:hint="eastAsia" w:ascii="仿宋_GB2312" w:hAnsi="仿宋" w:eastAsia="仿宋_GB2312" w:cs="仿宋"/>
          <w:color w:val="auto"/>
          <w:sz w:val="32"/>
          <w:szCs w:val="32"/>
          <w:highlight w:val="none"/>
          <w:u w:val="none"/>
        </w:rPr>
        <w:t>做好课程思政示范课建设、力争打造一门就业指导“金课”、出版一本职业生涯规划类教材，逐步提升授课水平。</w:t>
      </w:r>
      <w:r>
        <w:rPr>
          <w:rFonts w:hint="eastAsia" w:ascii="仿宋_GB2312" w:hAnsi="仿宋" w:eastAsia="仿宋_GB2312" w:cs="仿宋"/>
          <w:color w:val="auto"/>
          <w:sz w:val="32"/>
          <w:szCs w:val="32"/>
          <w:highlight w:val="none"/>
        </w:rPr>
        <w:t>把就业教育和就业引导作为“三全育人”的重要内容，将就业教育与思想政治工作紧密结合，深入开展就业育人主题教育，引导毕业生保持平实之心，客观看待个人条件和社会需求，从实际出发选择职业和工作岗位。</w:t>
      </w:r>
    </w:p>
    <w:p>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rPr>
        <w:t>4.以就业指导名师工作室建设为依托，加强毕业生就业服务工作。积极探索具有高职特色的就业育人支持体系，完善工作室建设，充实就业创业师资库，通过直播带岗、职场体验、职业规划竞赛、简历大赛、面试大赛、一对一咨询等多种形式，为学生提供个性化就业指导和服务。</w:t>
      </w:r>
    </w:p>
    <w:p>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rPr>
        <w:t>5.做好“全国高校毕业生网上签约与毕业去向登记平台”使用工作。就业指导中心制定使用指南，帮助毕业生了解平台；二级学院具体指导毕业生完成就业信息的录入和审核工作；建立签约进展情况周报和就业情况月报机制。</w:t>
      </w:r>
    </w:p>
    <w:p>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rPr>
        <w:t>6.重点做好困难群体帮扶工作。对于脱贫家庭、低保家庭、零就业家庭、残疾等困难毕业生，要建立困难群体毕业生工作台账，“一生一策”提供就业帮扶和指导，确保每一个困难学生都得到有效帮助。与学生处、团委、各二级学院共同开展“宏志助航”就业培训，做好求职创业补贴发放。</w:t>
      </w:r>
    </w:p>
    <w:p>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rPr>
        <w:t>7.认真做好毕业生“专升本”和参军入伍工作。按照北京市和学院相关文件要求完成“专升本”推荐工作，督促被推荐学生做好复习备考，二级学院结合专业情况提供有针对性的指导；进一步完善大学生征兵工作，大力宣传激励政策，强化动员与指导，鼓励更多毕业生参军入伍。</w:t>
      </w:r>
    </w:p>
    <w:p>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rPr>
        <w:t>8.将创新创业政策落到实处，推进创业带动就业。根据北京市人民政府办公厅关于印发《北京市支持高校毕业生就业创业若干措施》的通知（京政办发〔2022〕20号）中第六条的精神，即“</w:t>
      </w:r>
      <w:r>
        <w:rPr>
          <w:rFonts w:hint="eastAsia" w:ascii="仿宋_GB2312" w:hAnsi="仿宋" w:eastAsia="仿宋_GB2312" w:cs="仿宋"/>
          <w:color w:val="auto"/>
          <w:sz w:val="32"/>
          <w:szCs w:val="32"/>
          <w:highlight w:val="none"/>
          <w:lang w:eastAsia="zh-CN"/>
        </w:rPr>
        <w:t>推动</w:t>
      </w:r>
      <w:r>
        <w:rPr>
          <w:rFonts w:hint="eastAsia" w:ascii="仿宋_GB2312" w:hAnsi="仿宋" w:eastAsia="仿宋_GB2312" w:cs="仿宋"/>
          <w:color w:val="auto"/>
          <w:sz w:val="32"/>
          <w:szCs w:val="32"/>
          <w:highlight w:val="none"/>
        </w:rPr>
        <w:t>高校健全弹性学制管理及创业成果认定办法，允许大学生休学创业，创业经历、创业成果符合条件的免修创新创业实践、实习实训等教学课程并按规定计入学分。鼓励将国家和市级创新创业赛事获奖情况作为推优、推免的参考依据</w:t>
      </w:r>
      <w:r>
        <w:rPr>
          <w:rFonts w:hint="eastAsia" w:ascii="仿宋_GB2312" w:hAnsi="仿宋" w:eastAsia="仿宋_GB2312" w:cs="仿宋"/>
          <w:color w:val="auto"/>
          <w:sz w:val="32"/>
          <w:szCs w:val="32"/>
          <w:highlight w:val="none"/>
          <w:lang w:eastAsia="zh-CN"/>
        </w:rPr>
        <w:t>”</w:t>
      </w:r>
      <w:r>
        <w:rPr>
          <w:rFonts w:hint="eastAsia" w:ascii="仿宋_GB2312" w:hAnsi="仿宋" w:eastAsia="仿宋_GB2312" w:cs="仿宋"/>
          <w:color w:val="auto"/>
          <w:sz w:val="32"/>
          <w:szCs w:val="32"/>
          <w:highlight w:val="none"/>
        </w:rPr>
        <w:t>。</w:t>
      </w:r>
    </w:p>
    <w:p>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ascii="仿宋" w:hAnsi="仿宋" w:eastAsia="仿宋" w:cs="仿宋"/>
          <w:bCs/>
          <w:color w:val="auto"/>
          <w:sz w:val="32"/>
          <w:szCs w:val="32"/>
          <w:highlight w:val="none"/>
        </w:rPr>
      </w:pPr>
      <w:r>
        <w:rPr>
          <w:rFonts w:hint="eastAsia" w:ascii="仿宋_GB2312" w:hAnsi="仿宋" w:eastAsia="仿宋_GB2312" w:cs="仿宋"/>
          <w:color w:val="auto"/>
          <w:sz w:val="32"/>
          <w:szCs w:val="32"/>
          <w:highlight w:val="none"/>
        </w:rPr>
        <w:t>9.加强对毕业生的教育与管理。各二级学院组织开展以“成才观、职业观、就业观”为核心的就业主题班会活动；进一步加强毕业生顶岗实习管理，积极落实以就业为目的的实习活动；教育引导毕业生积极求职，主动参与招聘活动，按时办理毕业去向登记手续。</w:t>
      </w:r>
    </w:p>
    <w:p>
      <w:pPr>
        <w:pStyle w:val="5"/>
        <w:numPr>
          <w:ilvl w:val="0"/>
          <w:numId w:val="1"/>
        </w:numPr>
        <w:spacing w:line="560" w:lineRule="exact"/>
        <w:ind w:left="0" w:leftChars="0" w:firstLine="420" w:firstLineChars="0"/>
        <w:jc w:val="center"/>
        <w:rPr>
          <w:rFonts w:hint="eastAsia" w:hAnsi="Times New Roman"/>
          <w:sz w:val="32"/>
          <w:szCs w:val="32"/>
        </w:rPr>
      </w:pPr>
      <w:r>
        <w:rPr>
          <w:rFonts w:hint="eastAsia" w:hAnsi="Times New Roman"/>
          <w:sz w:val="32"/>
          <w:szCs w:val="32"/>
        </w:rPr>
        <w:t>保障机制</w:t>
      </w:r>
    </w:p>
    <w:p>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rPr>
        <w:t>1.建立督促检查奖励机制。按照“四不准”规定要求，定期检查各单位就业工作，定期公布相关数据，及时研判就业形势，精准施策，对就业工作开展不利的单位进行约谈</w:t>
      </w:r>
      <w:r>
        <w:rPr>
          <w:rFonts w:hint="eastAsia" w:ascii="仿宋_GB2312" w:hAnsi="仿宋" w:eastAsia="仿宋_GB2312" w:cs="仿宋"/>
          <w:color w:val="auto"/>
          <w:sz w:val="32"/>
          <w:szCs w:val="32"/>
          <w:highlight w:val="none"/>
          <w:lang w:eastAsia="zh-CN"/>
        </w:rPr>
        <w:t>和督促</w:t>
      </w:r>
      <w:r>
        <w:rPr>
          <w:rFonts w:hint="eastAsia" w:ascii="仿宋_GB2312" w:hAnsi="仿宋" w:eastAsia="仿宋_GB2312" w:cs="仿宋"/>
          <w:color w:val="auto"/>
          <w:sz w:val="32"/>
          <w:szCs w:val="32"/>
          <w:highlight w:val="none"/>
        </w:rPr>
        <w:t>。</w:t>
      </w:r>
    </w:p>
    <w:p>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hint="eastAsia" w:ascii="仿宋_GB2312" w:hAnsi="仿宋" w:eastAsia="仿宋_GB2312" w:cs="仿宋"/>
          <w:color w:val="auto"/>
          <w:sz w:val="32"/>
          <w:szCs w:val="32"/>
          <w:highlight w:val="none"/>
          <w:lang w:val="en-US" w:eastAsia="zh-CN"/>
        </w:rPr>
      </w:pPr>
      <w:r>
        <w:rPr>
          <w:rFonts w:hint="eastAsia" w:ascii="仿宋_GB2312" w:hAnsi="仿宋" w:eastAsia="仿宋_GB2312" w:cs="仿宋"/>
          <w:color w:val="auto"/>
          <w:sz w:val="32"/>
          <w:szCs w:val="32"/>
          <w:highlight w:val="none"/>
        </w:rPr>
        <w:t>2.推进就业工作综合评价。学院聘请第三方机构进行毕业生就业状况调查和用人单位需求调查，探索毕业生就业状况连续跟踪的有效途径。</w:t>
      </w:r>
      <w:bookmarkStart w:id="0" w:name="_GoBack"/>
      <w:bookmarkEnd w:id="0"/>
    </w:p>
    <w:p>
      <w:pPr>
        <w:keepNext w:val="0"/>
        <w:keepLines w:val="0"/>
        <w:pageBreakBefore w:val="0"/>
        <w:widowControl w:val="0"/>
        <w:kinsoku/>
        <w:wordWrap/>
        <w:overflowPunct/>
        <w:topLinePunct w:val="0"/>
        <w:autoSpaceDE/>
        <w:autoSpaceDN/>
        <w:bidi w:val="0"/>
        <w:spacing w:line="240" w:lineRule="auto"/>
        <w:ind w:firstLine="5440" w:firstLineChars="1700"/>
        <w:jc w:val="both"/>
        <w:textAlignment w:val="auto"/>
        <w:rPr>
          <w:rFonts w:hint="eastAsia" w:ascii="仿宋_GB2312" w:hAnsi="仿宋" w:eastAsia="仿宋_GB2312" w:cs="仿宋"/>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spacing w:line="240" w:lineRule="auto"/>
        <w:jc w:val="center"/>
        <w:textAlignment w:val="auto"/>
        <w:rPr>
          <w:rFonts w:hint="eastAsia" w:ascii="仿宋_GB2312" w:hAnsi="仿宋" w:eastAsia="仿宋_GB2312" w:cs="仿宋"/>
          <w:color w:val="auto"/>
          <w:sz w:val="32"/>
          <w:szCs w:val="32"/>
          <w:highlight w:val="none"/>
          <w:lang w:val="en-US" w:eastAsia="zh-CN"/>
        </w:rPr>
      </w:pPr>
      <w:r>
        <w:rPr>
          <w:rFonts w:hint="eastAsia" w:ascii="仿宋_GB2312" w:hAnsi="仿宋" w:eastAsia="仿宋_GB2312" w:cs="仿宋"/>
          <w:color w:val="auto"/>
          <w:sz w:val="32"/>
          <w:szCs w:val="32"/>
          <w:highlight w:val="none"/>
          <w:lang w:val="en-US" w:eastAsia="zh-CN"/>
        </w:rPr>
        <w:t xml:space="preserve">                                招生就业处</w:t>
      </w:r>
    </w:p>
    <w:p>
      <w:pPr>
        <w:keepNext w:val="0"/>
        <w:keepLines w:val="0"/>
        <w:pageBreakBefore w:val="0"/>
        <w:widowControl w:val="0"/>
        <w:kinsoku/>
        <w:wordWrap/>
        <w:overflowPunct/>
        <w:topLinePunct w:val="0"/>
        <w:autoSpaceDE/>
        <w:autoSpaceDN/>
        <w:bidi w:val="0"/>
        <w:spacing w:line="240" w:lineRule="auto"/>
        <w:ind w:firstLine="5440" w:firstLineChars="1700"/>
        <w:jc w:val="both"/>
        <w:textAlignment w:val="auto"/>
        <w:rPr>
          <w:rFonts w:hint="default" w:ascii="仿宋_GB2312" w:hAnsi="仿宋" w:eastAsia="仿宋_GB2312" w:cs="仿宋"/>
          <w:color w:val="auto"/>
          <w:sz w:val="32"/>
          <w:szCs w:val="32"/>
          <w:highlight w:val="none"/>
          <w:lang w:val="en-US" w:eastAsia="zh-CN"/>
        </w:rPr>
      </w:pPr>
      <w:r>
        <w:rPr>
          <w:rFonts w:hint="eastAsia" w:ascii="仿宋_GB2312" w:hAnsi="仿宋" w:eastAsia="仿宋_GB2312" w:cs="仿宋"/>
          <w:color w:val="auto"/>
          <w:sz w:val="32"/>
          <w:szCs w:val="32"/>
          <w:highlight w:val="none"/>
          <w:lang w:val="en-US" w:eastAsia="zh-CN"/>
        </w:rPr>
        <w:t>2023年12月18日</w:t>
      </w:r>
    </w:p>
    <w:p>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hint="default" w:ascii="仿宋_GB2312" w:hAnsi="仿宋" w:eastAsia="仿宋_GB2312" w:cs="仿宋"/>
          <w:color w:val="auto"/>
          <w:sz w:val="32"/>
          <w:szCs w:val="32"/>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8B908F00-ABDA-4470-AEB4-FFE67C4F45D8}"/>
  </w:font>
  <w:font w:name="仿宋_GB2312">
    <w:altName w:val="仿宋"/>
    <w:panose1 w:val="02010609030101010101"/>
    <w:charset w:val="86"/>
    <w:family w:val="modern"/>
    <w:pitch w:val="default"/>
    <w:sig w:usb0="00000000" w:usb1="00000000" w:usb2="00000000" w:usb3="00000000" w:csb0="00040000" w:csb1="00000000"/>
    <w:embedRegular r:id="rId2" w:fontKey="{9DD5A1A1-AA6B-4463-8153-DC6C3957B076}"/>
  </w:font>
  <w:font w:name="仿宋">
    <w:panose1 w:val="02010609060101010101"/>
    <w:charset w:val="86"/>
    <w:family w:val="modern"/>
    <w:pitch w:val="default"/>
    <w:sig w:usb0="800002BF" w:usb1="38CF7CFA" w:usb2="00000016" w:usb3="00000000" w:csb0="00040001" w:csb1="00000000"/>
    <w:embedRegular r:id="rId3" w:fontKey="{3DBE2D04-3488-4A34-999F-8387F104001F}"/>
  </w:font>
  <w:font w:name="方正小标宋简体">
    <w:panose1 w:val="02000000000000000000"/>
    <w:charset w:val="86"/>
    <w:family w:val="script"/>
    <w:pitch w:val="default"/>
    <w:sig w:usb0="00000001" w:usb1="08000000" w:usb2="00000000" w:usb3="00000000" w:csb0="00040000" w:csb1="00000000"/>
    <w:embedRegular r:id="rId4" w:fontKey="{6FA3D754-DA98-4A90-9995-90D7A951ED91}"/>
  </w:font>
  <w:font w:name="华文中宋">
    <w:panose1 w:val="02010600040101010101"/>
    <w:charset w:val="86"/>
    <w:family w:val="auto"/>
    <w:pitch w:val="default"/>
    <w:sig w:usb0="00000287" w:usb1="080F0000" w:usb2="00000000" w:usb3="00000000" w:csb0="0004009F" w:csb1="DFD70000"/>
    <w:embedRegular r:id="rId5" w:fontKey="{0ED46A76-9379-4628-A88A-981B1237DBC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7B055D"/>
    <w:multiLevelType w:val="singleLevel"/>
    <w:tmpl w:val="D87B055D"/>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yYzMwNzcyMWJhYzZiMzcyYzNmY2UwYzcyNmU1MzYifQ=="/>
  </w:docVars>
  <w:rsids>
    <w:rsidRoot w:val="3CED0F21"/>
    <w:rsid w:val="002B247F"/>
    <w:rsid w:val="110739D6"/>
    <w:rsid w:val="3CED0F21"/>
    <w:rsid w:val="550D7D22"/>
    <w:rsid w:val="576074C1"/>
    <w:rsid w:val="6D264ABE"/>
    <w:rsid w:val="727D4E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rPr>
  </w:style>
  <w:style w:type="paragraph" w:customStyle="1" w:styleId="5">
    <w:name w:val="Default"/>
    <w:uiPriority w:val="0"/>
    <w:pPr>
      <w:widowControl w:val="0"/>
      <w:autoSpaceDE w:val="0"/>
      <w:autoSpaceDN w:val="0"/>
      <w:adjustRightInd w:val="0"/>
    </w:pPr>
    <w:rPr>
      <w:rFonts w:ascii="黑体" w:hAnsi="Calibri" w:eastAsia="黑体" w:cs="黑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3064</Words>
  <Characters>3103</Characters>
  <Lines>0</Lines>
  <Paragraphs>0</Paragraphs>
  <TotalTime>0</TotalTime>
  <ScaleCrop>false</ScaleCrop>
  <LinksUpToDate>false</LinksUpToDate>
  <CharactersWithSpaces>3113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2023-05-22T02:44:00Z</dcterms:created>
  <dc:creator>阿滨</dc:creator>
  <cp:lastModifiedBy>晨儿宝</cp:lastModifiedBy>
  <cp:lastPrinted>2023-12-14T00:47:00Z</cp:lastPrinted>
  <dcterms:modified xsi:type="dcterms:W3CDTF">2023-12-18T08:35:16Z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6049EAB74353416B844A8EECE7F573DC_11</vt:lpwstr>
  </property>
</Properties>
</file>