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CA0AE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</w:t>
      </w:r>
      <w:r>
        <w:rPr>
          <w:rFonts w:ascii="黑体" w:hAnsi="黑体" w:eastAsia="黑体"/>
          <w:sz w:val="36"/>
          <w:szCs w:val="36"/>
        </w:rPr>
        <w:t>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4</w:t>
      </w:r>
      <w:r>
        <w:rPr>
          <w:rFonts w:ascii="黑体" w:hAnsi="黑体" w:eastAsia="黑体"/>
          <w:sz w:val="36"/>
          <w:szCs w:val="36"/>
        </w:rPr>
        <w:t>-202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/>
          <w:sz w:val="36"/>
          <w:szCs w:val="36"/>
        </w:rPr>
        <w:t>学年教务处</w:t>
      </w:r>
      <w:r>
        <w:rPr>
          <w:rFonts w:ascii="黑体" w:hAnsi="黑体" w:eastAsia="黑体"/>
          <w:sz w:val="36"/>
          <w:szCs w:val="36"/>
        </w:rPr>
        <w:t>信息公开情况总结</w:t>
      </w:r>
    </w:p>
    <w:p w14:paraId="58FC3937"/>
    <w:p w14:paraId="4454D4B7">
      <w:pPr>
        <w:pStyle w:val="3"/>
        <w:spacing w:before="0" w:beforeAutospacing="0" w:after="0" w:afterAutospacing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根据《高等学校信息公开办法》和《教育部关于公布&lt;高等学校信息公开事项清单&gt;的通知》（教办函﹝2014﹞23号）及我院《关于做好学院202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年高校信息公开工作的通知》要求，教务处对20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-20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学年需要公开的专业设置情况、全院课程开设情况、学籍管理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学风</w:t>
      </w:r>
      <w:r>
        <w:rPr>
          <w:rFonts w:ascii="仿宋_GB2312" w:eastAsia="仿宋_GB2312"/>
          <w:sz w:val="32"/>
          <w:szCs w:val="32"/>
        </w:rPr>
        <w:t>建设</w:t>
      </w:r>
      <w:r>
        <w:rPr>
          <w:rFonts w:hint="eastAsia" w:ascii="仿宋_GB2312" w:eastAsia="仿宋_GB2312"/>
          <w:sz w:val="32"/>
          <w:szCs w:val="32"/>
        </w:rPr>
        <w:t>等事项进行了整理、汇总，现将具体情况总结如下：</w:t>
      </w:r>
    </w:p>
    <w:p w14:paraId="0D7669C6">
      <w:pPr>
        <w:pStyle w:val="3"/>
        <w:spacing w:before="0" w:beforeAutospacing="0" w:after="0" w:afterAutospacing="0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1.教学质量信息</w:t>
      </w:r>
    </w:p>
    <w:p w14:paraId="45516B1E">
      <w:pPr>
        <w:widowControl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教学质量信息中涉及专业建设</w:t>
      </w:r>
      <w:r>
        <w:rPr>
          <w:rFonts w:ascii="仿宋_GB2312" w:hAnsi="宋体" w:eastAsia="仿宋_GB2312" w:cs="宋体"/>
          <w:kern w:val="0"/>
          <w:sz w:val="32"/>
          <w:szCs w:val="32"/>
        </w:rPr>
        <w:t>、人才培养方案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制订、课程建设、教学运行、教育教学改革、1+X证书</w:t>
      </w:r>
      <w:r>
        <w:rPr>
          <w:rFonts w:ascii="仿宋_GB2312" w:hAnsi="宋体" w:eastAsia="仿宋_GB2312" w:cs="宋体"/>
          <w:kern w:val="0"/>
          <w:sz w:val="32"/>
          <w:szCs w:val="32"/>
        </w:rPr>
        <w:t>试点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、实习</w:t>
      </w:r>
      <w:r>
        <w:rPr>
          <w:rFonts w:ascii="仿宋_GB2312" w:hAnsi="宋体" w:eastAsia="仿宋_GB2312" w:cs="宋体"/>
          <w:kern w:val="0"/>
          <w:sz w:val="32"/>
          <w:szCs w:val="32"/>
        </w:rPr>
        <w:t>实训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kern w:val="0"/>
          <w:sz w:val="32"/>
          <w:szCs w:val="32"/>
        </w:rPr>
        <w:t>毕业设计、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教学管理制度、教学评优与表彰公示信息等内容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条。20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-20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教务处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依照相关规定，公开了实践教学、课程建设、排课情况、学分</w:t>
      </w:r>
      <w:r>
        <w:rPr>
          <w:rFonts w:ascii="仿宋_GB2312" w:hAnsi="宋体" w:eastAsia="仿宋_GB2312" w:cs="宋体"/>
          <w:kern w:val="0"/>
          <w:sz w:val="32"/>
          <w:szCs w:val="32"/>
        </w:rPr>
        <w:t>认定与转换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制度</w:t>
      </w:r>
      <w:r>
        <w:rPr>
          <w:rFonts w:ascii="仿宋_GB2312" w:hAnsi="宋体" w:eastAsia="仿宋_GB2312" w:cs="宋体"/>
          <w:kern w:val="0"/>
          <w:sz w:val="32"/>
          <w:szCs w:val="32"/>
        </w:rPr>
        <w:t>文件、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考试考核等各环节教学安排，使学生及时了解教学信息，随时掌握教育教学活动新要求（具体</w:t>
      </w:r>
      <w:r>
        <w:rPr>
          <w:rFonts w:ascii="仿宋_GB2312" w:hAnsi="宋体" w:eastAsia="仿宋_GB2312" w:cs="宋体"/>
          <w:kern w:val="0"/>
          <w:sz w:val="32"/>
          <w:szCs w:val="32"/>
        </w:rPr>
        <w:t>数据见附件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）。本学年开设了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个专业（方向）（具体数据见表一）。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新增学前教育两年制、政务服务、国际商务（中外合作办学）和学前教育（中外合作办学）两年制四个专业（方向），停招心理咨询、电子商务、软件技术和现代文秘四个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专业。全校开设课程总门数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门，实践教学学分占总学分比例为6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%，选修课学分占总学分比例为15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6680B93D">
      <w:pPr>
        <w:widowControl/>
        <w:jc w:val="left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ascii="仿宋_GB2312" w:hAnsi="宋体" w:eastAsia="仿宋_GB2312" w:cs="宋体"/>
          <w:b/>
          <w:kern w:val="0"/>
          <w:sz w:val="28"/>
          <w:szCs w:val="28"/>
        </w:rPr>
        <w:br w:type="page"/>
      </w:r>
    </w:p>
    <w:p w14:paraId="494ACBF8">
      <w:pPr>
        <w:widowControl/>
        <w:jc w:val="center"/>
        <w:rPr>
          <w:rFonts w:hint="eastAsia" w:ascii="仿宋_GB2312" w:hAnsi="宋体" w:eastAsia="仿宋_GB2312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表一  专业设置统计表</w:t>
      </w:r>
    </w:p>
    <w:tbl>
      <w:tblPr>
        <w:tblStyle w:val="4"/>
        <w:tblW w:w="8964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594"/>
        <w:gridCol w:w="2187"/>
        <w:gridCol w:w="1606"/>
        <w:gridCol w:w="1871"/>
      </w:tblGrid>
      <w:tr w14:paraId="7300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</w:trPr>
        <w:tc>
          <w:tcPr>
            <w:tcW w:w="1706" w:type="dxa"/>
            <w:shd w:val="clear" w:color="000000" w:fill="0066CC"/>
            <w:noWrap w:val="0"/>
            <w:vAlign w:val="center"/>
          </w:tcPr>
          <w:p w14:paraId="46F51FC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auto"/>
                <w:sz w:val="24"/>
                <w:szCs w:val="24"/>
                <w:lang w:val="zh-CN"/>
              </w:rPr>
              <w:br w:type="page"/>
            </w:r>
            <w:bookmarkStart w:id="0" w:name="RANGE!A1:E26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所属学</w:t>
            </w:r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院</w:t>
            </w:r>
          </w:p>
        </w:tc>
        <w:tc>
          <w:tcPr>
            <w:tcW w:w="1594" w:type="dxa"/>
            <w:shd w:val="clear" w:color="000000" w:fill="0066CC"/>
            <w:noWrap w:val="0"/>
            <w:vAlign w:val="center"/>
          </w:tcPr>
          <w:p w14:paraId="21B37A7E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187" w:type="dxa"/>
            <w:shd w:val="clear" w:color="000000" w:fill="0066CC"/>
            <w:noWrap w:val="0"/>
            <w:vAlign w:val="center"/>
          </w:tcPr>
          <w:p w14:paraId="17503F3C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606" w:type="dxa"/>
            <w:shd w:val="clear" w:color="000000" w:fill="0066CC"/>
            <w:noWrap w:val="0"/>
            <w:vAlign w:val="center"/>
          </w:tcPr>
          <w:p w14:paraId="3E77A17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专业方向代码</w:t>
            </w:r>
          </w:p>
        </w:tc>
        <w:tc>
          <w:tcPr>
            <w:tcW w:w="1871" w:type="dxa"/>
            <w:shd w:val="clear" w:color="000000" w:fill="0066CC"/>
            <w:noWrap w:val="0"/>
            <w:vAlign w:val="center"/>
          </w:tcPr>
          <w:p w14:paraId="47DA72A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专业方向名称</w:t>
            </w:r>
          </w:p>
        </w:tc>
      </w:tr>
      <w:tr w14:paraId="296D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 w14:paraId="5A05493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学前教育学院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41040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570101K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C13A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早期教育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8D87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2E9C2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119C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09F6983B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C1D6D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D8519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CA42C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570102K_1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3ED00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学前教育（师范）</w:t>
            </w:r>
          </w:p>
        </w:tc>
      </w:tr>
      <w:tr w14:paraId="37AE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762372E2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30D80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559AC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72F08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570102K_3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4B31F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学前教育（3+2）</w:t>
            </w:r>
          </w:p>
        </w:tc>
      </w:tr>
      <w:tr w14:paraId="4AA4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1706" w:type="dxa"/>
            <w:vMerge w:val="continue"/>
            <w:noWrap w:val="0"/>
            <w:vAlign w:val="center"/>
          </w:tcPr>
          <w:p w14:paraId="76D18024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BE2EE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520802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CFE3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婴幼儿托育服务与管理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215D7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C464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53C10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 w14:paraId="3BA8EB23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青年工作学院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3A698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590103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1AF58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青少年工作与管理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9FC4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19E30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7DFA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53DB83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8BB4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520804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796D3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心理咨询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B53A8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8A412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3C96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0B9EC4BD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3BD33"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590101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27411">
            <w:pPr>
              <w:widowControl/>
              <w:jc w:val="left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社会工作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6C269"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20258">
            <w:pPr>
              <w:widowControl/>
              <w:jc w:val="left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B27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5F0D292A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BB226"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590107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1328C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政务服务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60B85"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1B249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2DF4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0688467E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3B7A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580401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0A268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法律事务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A2E82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ADCCE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016B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1ADB2449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D6A95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590401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E8BC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现代文秘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E6D0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  <w:p w14:paraId="140A9842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42BF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5E80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 w14:paraId="7F66FDEA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DC827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530601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33FEA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工商企业管理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66A10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90791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2F93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436283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9767C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530701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F50FB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电子商务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B8A7A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309C1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1ED1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1706" w:type="dxa"/>
            <w:vMerge w:val="continue"/>
            <w:noWrap w:val="0"/>
            <w:vAlign w:val="center"/>
          </w:tcPr>
          <w:p w14:paraId="559BF259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36556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590302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8A10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智慧健康养老服务与管理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72433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AD6DD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67ED4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1706" w:type="dxa"/>
            <w:vMerge w:val="continue"/>
            <w:noWrap w:val="0"/>
            <w:vAlign w:val="center"/>
          </w:tcPr>
          <w:p w14:paraId="0DC57530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67AB9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530302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E75F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大数据与会计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32AB3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50BE9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2C14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3DB5DE9F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73F01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530206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C0696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证券实务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BA909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A34E5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4DED1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2259C92C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083B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530206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0E08C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证券实务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D3DB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530206_1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8455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证券实务（3+2）</w:t>
            </w:r>
          </w:p>
        </w:tc>
      </w:tr>
      <w:tr w14:paraId="7690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restart"/>
            <w:noWrap w:val="0"/>
            <w:vAlign w:val="center"/>
          </w:tcPr>
          <w:p w14:paraId="39E07122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2A0B0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560205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28CCE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新闻采编与制作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5E618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25B5B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5012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1706" w:type="dxa"/>
            <w:vMerge w:val="continue"/>
            <w:noWrap w:val="0"/>
            <w:vAlign w:val="center"/>
          </w:tcPr>
          <w:p w14:paraId="27811F7F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41CEA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550107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BBB92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书画艺术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12D04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38B22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4E7F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177FBC45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5EED8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550103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3948E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数字媒体艺术设计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66AEE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F14AF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6A025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1706" w:type="dxa"/>
            <w:vMerge w:val="continue"/>
            <w:noWrap w:val="0"/>
            <w:vAlign w:val="center"/>
          </w:tcPr>
          <w:p w14:paraId="692694A8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ED7EA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510201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835C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计算机应用技术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2C813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48915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3868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37626E29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AB84A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510203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CBD0E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软件技术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6D27E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1CCD9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51FB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noWrap w:val="0"/>
            <w:vAlign w:val="center"/>
          </w:tcPr>
          <w:p w14:paraId="6F798422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E6BC4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510203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37618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软件技术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31390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510203_1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A54E0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软件技术（3+2）</w:t>
            </w:r>
          </w:p>
        </w:tc>
      </w:tr>
      <w:tr w14:paraId="3E06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06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02F68D92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368F9A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550109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265DF0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游戏艺术设计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807791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7B5462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4F43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70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278CD84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国际学院</w:t>
            </w: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57790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570203</w:t>
            </w:r>
          </w:p>
        </w:tc>
        <w:tc>
          <w:tcPr>
            <w:tcW w:w="2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A5DD3B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旅游英语</w:t>
            </w:r>
          </w:p>
        </w:tc>
        <w:tc>
          <w:tcPr>
            <w:tcW w:w="1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26495D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570203_2</w:t>
            </w:r>
          </w:p>
        </w:tc>
        <w:tc>
          <w:tcPr>
            <w:tcW w:w="1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296357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出入境服务与管理</w:t>
            </w:r>
          </w:p>
        </w:tc>
      </w:tr>
      <w:tr w14:paraId="010F2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70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507A6EA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2CF01D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</w:t>
            </w:r>
          </w:p>
        </w:tc>
        <w:tc>
          <w:tcPr>
            <w:tcW w:w="2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694F0E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1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C7101A"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570102K_2</w:t>
            </w:r>
          </w:p>
        </w:tc>
        <w:tc>
          <w:tcPr>
            <w:tcW w:w="1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D8FA39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中外合作办学</w:t>
            </w:r>
          </w:p>
        </w:tc>
      </w:tr>
      <w:tr w14:paraId="14048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70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D3050F5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72F0D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</w:t>
            </w:r>
          </w:p>
        </w:tc>
        <w:tc>
          <w:tcPr>
            <w:tcW w:w="2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5EE2F1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学前教育</w:t>
            </w:r>
          </w:p>
        </w:tc>
        <w:tc>
          <w:tcPr>
            <w:tcW w:w="1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5B3D86"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570102K_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6385C9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中外合作办学（3+2）</w:t>
            </w:r>
          </w:p>
        </w:tc>
      </w:tr>
      <w:tr w14:paraId="2526A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70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41C19C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165077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530502H</w:t>
            </w:r>
          </w:p>
        </w:tc>
        <w:tc>
          <w:tcPr>
            <w:tcW w:w="2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DA0E94">
            <w:pPr>
              <w:widowControl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国际商务</w:t>
            </w:r>
          </w:p>
        </w:tc>
        <w:tc>
          <w:tcPr>
            <w:tcW w:w="16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A8B7FE"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</w:rPr>
              <w:t>530502H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_2</w:t>
            </w:r>
          </w:p>
        </w:tc>
        <w:tc>
          <w:tcPr>
            <w:tcW w:w="18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F598FE"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中外合作办学</w:t>
            </w:r>
          </w:p>
        </w:tc>
      </w:tr>
    </w:tbl>
    <w:p w14:paraId="4A0017C8">
      <w:pPr>
        <w:bidi w:val="0"/>
        <w:rPr>
          <w:rFonts w:hint="eastAsia"/>
        </w:rPr>
      </w:pPr>
    </w:p>
    <w:p w14:paraId="77A3CD56">
      <w:pPr>
        <w:widowControl/>
        <w:ind w:firstLine="66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2.学生管理服务信息</w:t>
      </w:r>
    </w:p>
    <w:p w14:paraId="5E40210E">
      <w:pPr>
        <w:jc w:val="left"/>
        <w:rPr>
          <w:rFonts w:hint="eastAsia" w:ascii="楷体_GB2312" w:eastAsia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根据</w:t>
      </w:r>
      <w:r>
        <w:rPr>
          <w:rFonts w:hint="eastAsia" w:ascii="仿宋_GB2312" w:hAnsi="仿宋" w:eastAsia="仿宋_GB2312"/>
          <w:sz w:val="32"/>
          <w:szCs w:val="32"/>
        </w:rPr>
        <w:t>《中华人民共和国高等教育法》、《普通高等学校学生管理规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定》（中华人民共和国教育部令第41号）以及相关法律、法规，结合学院实际，制订了《北京青年政治学院学籍管理规定》（院发〔20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4980D853">
      <w:pPr>
        <w:widowControl/>
        <w:ind w:firstLine="66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3.学风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>建设信息</w:t>
      </w:r>
    </w:p>
    <w:p w14:paraId="0E8E2481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</w:t>
      </w:r>
      <w:r>
        <w:rPr>
          <w:rFonts w:ascii="仿宋" w:hAnsi="仿宋" w:eastAsia="仿宋"/>
          <w:sz w:val="32"/>
          <w:szCs w:val="32"/>
        </w:rPr>
        <w:t>加强</w:t>
      </w:r>
      <w:r>
        <w:rPr>
          <w:rFonts w:hint="eastAsia" w:ascii="仿宋" w:hAnsi="仿宋" w:eastAsia="仿宋"/>
          <w:sz w:val="32"/>
          <w:szCs w:val="32"/>
        </w:rPr>
        <w:t>学风</w:t>
      </w:r>
      <w:r>
        <w:rPr>
          <w:rFonts w:ascii="仿宋" w:hAnsi="仿宋" w:eastAsia="仿宋"/>
          <w:sz w:val="32"/>
          <w:szCs w:val="32"/>
        </w:rPr>
        <w:t>建设，</w:t>
      </w:r>
      <w:r>
        <w:rPr>
          <w:rFonts w:hint="eastAsia" w:ascii="仿宋" w:hAnsi="仿宋" w:eastAsia="仿宋"/>
          <w:sz w:val="32"/>
          <w:szCs w:val="32"/>
        </w:rPr>
        <w:t>落实学院“三全育人”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改革</w:t>
      </w:r>
      <w:r>
        <w:rPr>
          <w:rFonts w:hint="eastAsia" w:ascii="仿宋" w:hAnsi="仿宋" w:eastAsia="仿宋"/>
          <w:sz w:val="32"/>
          <w:szCs w:val="32"/>
        </w:rPr>
        <w:t>工程，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组织开展课程思政示范课活动，提高教师课程思政育人意识和能力。开展两批次</w:t>
      </w:r>
      <w:r>
        <w:rPr>
          <w:rFonts w:hint="eastAsia" w:ascii="仿宋" w:hAnsi="仿宋" w:eastAsia="仿宋"/>
          <w:sz w:val="32"/>
          <w:szCs w:val="32"/>
          <w:lang w:eastAsia="zh-CN"/>
        </w:rPr>
        <w:t>公开课活动，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加强教师教学能力，提高课堂教学质量。</w:t>
      </w:r>
      <w:r>
        <w:rPr>
          <w:rFonts w:hint="eastAsia" w:ascii="仿宋" w:hAnsi="仿宋" w:eastAsia="仿宋"/>
          <w:sz w:val="32"/>
          <w:szCs w:val="32"/>
        </w:rPr>
        <w:t>通过</w:t>
      </w:r>
      <w:r>
        <w:rPr>
          <w:rFonts w:ascii="仿宋" w:hAnsi="仿宋" w:eastAsia="仿宋"/>
          <w:sz w:val="32"/>
          <w:szCs w:val="32"/>
        </w:rPr>
        <w:t>教学秩序检查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、公开课等</w:t>
      </w:r>
      <w:r>
        <w:rPr>
          <w:rFonts w:ascii="仿宋" w:hAnsi="仿宋" w:eastAsia="仿宋"/>
          <w:sz w:val="32"/>
          <w:szCs w:val="32"/>
        </w:rPr>
        <w:t>活动，</w:t>
      </w:r>
      <w:r>
        <w:rPr>
          <w:rFonts w:hint="eastAsia" w:ascii="仿宋" w:hAnsi="仿宋" w:eastAsia="仿宋"/>
          <w:sz w:val="32"/>
          <w:szCs w:val="32"/>
        </w:rPr>
        <w:t>加强</w:t>
      </w:r>
      <w:r>
        <w:rPr>
          <w:rFonts w:ascii="仿宋" w:hAnsi="仿宋" w:eastAsia="仿宋"/>
          <w:sz w:val="32"/>
          <w:szCs w:val="32"/>
        </w:rPr>
        <w:t>教师教学和学生学风督促检查</w:t>
      </w:r>
      <w:r>
        <w:rPr>
          <w:rFonts w:hint="eastAsia" w:ascii="仿宋" w:hAnsi="仿宋" w:eastAsia="仿宋"/>
          <w:sz w:val="32"/>
          <w:szCs w:val="32"/>
        </w:rPr>
        <w:t>与</w:t>
      </w:r>
      <w:r>
        <w:rPr>
          <w:rFonts w:ascii="仿宋" w:hAnsi="仿宋" w:eastAsia="仿宋"/>
          <w:sz w:val="32"/>
          <w:szCs w:val="32"/>
        </w:rPr>
        <w:t>指导工作。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发布《关于开展2025</w:t>
      </w:r>
      <w:bookmarkStart w:id="1" w:name="_GoBack"/>
      <w:bookmarkEnd w:id="1"/>
      <w:r>
        <w:rPr>
          <w:rFonts w:hint="eastAsia" w:ascii="仿宋" w:hAnsi="仿宋" w:eastAsia="仿宋"/>
          <w:sz w:val="32"/>
          <w:szCs w:val="32"/>
          <w:lang w:val="en-US" w:eastAsia="zh-CN"/>
        </w:rPr>
        <w:t>学年学业预警工作的通知》，强化对困难学生学业帮扶和指导，</w:t>
      </w:r>
      <w:r>
        <w:rPr>
          <w:rFonts w:hint="eastAsia" w:ascii="仿宋" w:hAnsi="仿宋" w:eastAsia="仿宋"/>
          <w:sz w:val="32"/>
          <w:szCs w:val="32"/>
        </w:rPr>
        <w:t>组织</w:t>
      </w:r>
      <w:r>
        <w:rPr>
          <w:rFonts w:ascii="仿宋" w:hAnsi="仿宋" w:eastAsia="仿宋"/>
          <w:sz w:val="32"/>
          <w:szCs w:val="32"/>
        </w:rPr>
        <w:t>教师</w:t>
      </w:r>
      <w:r>
        <w:rPr>
          <w:rFonts w:hint="eastAsia" w:ascii="仿宋" w:hAnsi="仿宋" w:eastAsia="仿宋"/>
          <w:sz w:val="32"/>
          <w:szCs w:val="32"/>
        </w:rPr>
        <w:t>教学</w:t>
      </w:r>
      <w:r>
        <w:rPr>
          <w:rFonts w:ascii="仿宋" w:hAnsi="仿宋" w:eastAsia="仿宋"/>
          <w:sz w:val="32"/>
          <w:szCs w:val="32"/>
        </w:rPr>
        <w:t>能力比赛及</w:t>
      </w:r>
      <w:r>
        <w:rPr>
          <w:rFonts w:hint="eastAsia" w:ascii="仿宋" w:hAnsi="仿宋" w:eastAsia="仿宋"/>
          <w:sz w:val="32"/>
          <w:szCs w:val="32"/>
        </w:rPr>
        <w:t>全国高校教师网络培训，</w:t>
      </w:r>
      <w:r>
        <w:rPr>
          <w:rFonts w:ascii="仿宋" w:hAnsi="仿宋" w:eastAsia="仿宋"/>
          <w:sz w:val="32"/>
          <w:szCs w:val="32"/>
        </w:rPr>
        <w:t>促进教师教学能力提升。</w:t>
      </w:r>
      <w:r>
        <w:rPr>
          <w:rFonts w:hint="eastAsia" w:ascii="仿宋" w:hAnsi="仿宋" w:eastAsia="仿宋"/>
          <w:sz w:val="32"/>
          <w:szCs w:val="32"/>
        </w:rPr>
        <w:t>组织学生开展岗位实习和毕业设计（论文）工作，落实学生实习管理工作月报制度，狠抓毕业设计质量，落实立德树人根本任务，不断提升学院人才培养质量</w:t>
      </w:r>
      <w:r>
        <w:rPr>
          <w:rFonts w:hint="eastAsia" w:ascii="仿宋_GB2312" w:hAnsi="宋体" w:eastAsia="仿宋_GB2312" w:cs="仿宋_GB2312"/>
          <w:sz w:val="32"/>
          <w:szCs w:val="32"/>
        </w:rPr>
        <w:t>。</w:t>
      </w:r>
    </w:p>
    <w:p w14:paraId="165CDB6D">
      <w:pPr>
        <w:widowControl/>
        <w:ind w:firstLine="66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" w:eastAsia="仿宋_GB2312"/>
          <w:sz w:val="32"/>
          <w:szCs w:val="32"/>
        </w:rPr>
        <w:t>教务处</w:t>
      </w:r>
    </w:p>
    <w:p w14:paraId="67981F4B">
      <w:pPr>
        <w:widowControl/>
        <w:ind w:firstLine="6240" w:firstLineChars="195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/>
          <w:sz w:val="32"/>
          <w:szCs w:val="32"/>
        </w:rPr>
        <w:t>月</w:t>
      </w:r>
    </w:p>
    <w:p w14:paraId="4546A77C">
      <w:pPr>
        <w:widowControl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/>
          <w:b/>
          <w:kern w:val="0"/>
          <w:sz w:val="32"/>
          <w:szCs w:val="32"/>
        </w:rPr>
        <w:br w:type="page"/>
      </w:r>
    </w:p>
    <w:p w14:paraId="4E80D420">
      <w:pPr>
        <w:widowControl/>
        <w:jc w:val="left"/>
        <w:rPr>
          <w:rFonts w:hint="default" w:ascii="宋体" w:hAnsi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kern w:val="0"/>
          <w:sz w:val="40"/>
          <w:szCs w:val="40"/>
        </w:rPr>
        <w:t>附件</w:t>
      </w:r>
      <w:r>
        <w:rPr>
          <w:rFonts w:hint="eastAsia" w:ascii="宋体" w:hAnsi="宋体" w:cs="宋体"/>
          <w:b/>
          <w:kern w:val="0"/>
          <w:sz w:val="40"/>
          <w:szCs w:val="40"/>
          <w:lang w:val="en-US" w:eastAsia="zh-CN"/>
        </w:rPr>
        <w:t xml:space="preserve">2  </w:t>
      </w:r>
      <w:r>
        <w:rPr>
          <w:rFonts w:hint="eastAsia" w:ascii="宋体" w:hAnsi="宋体" w:cs="宋体"/>
          <w:b/>
          <w:kern w:val="0"/>
          <w:sz w:val="40"/>
          <w:szCs w:val="40"/>
          <w:u w:val="single"/>
          <w:lang w:val="en-US" w:eastAsia="zh-CN"/>
        </w:rPr>
        <w:t>教务处</w:t>
      </w:r>
      <w:r>
        <w:rPr>
          <w:rFonts w:hint="eastAsia" w:ascii="宋体" w:hAnsi="宋体" w:cs="宋体"/>
          <w:b/>
          <w:kern w:val="0"/>
          <w:sz w:val="40"/>
          <w:szCs w:val="40"/>
          <w:lang w:val="en-US" w:eastAsia="zh-CN"/>
        </w:rPr>
        <w:t>信息公开统计表</w:t>
      </w:r>
    </w:p>
    <w:p w14:paraId="0C5961A7">
      <w:pPr>
        <w:widowControl/>
        <w:jc w:val="left"/>
        <w:rPr>
          <w:rFonts w:hint="default" w:ascii="宋体" w:hAnsi="宋体" w:cs="宋体"/>
          <w:b/>
          <w:kern w:val="0"/>
          <w:sz w:val="32"/>
          <w:szCs w:val="32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2475"/>
        <w:gridCol w:w="1733"/>
        <w:gridCol w:w="2399"/>
        <w:gridCol w:w="1759"/>
      </w:tblGrid>
      <w:tr w14:paraId="6CBD7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68" w:hRule="atLeast"/>
        </w:trPr>
        <w:tc>
          <w:tcPr>
            <w:tcW w:w="1479" w:type="pct"/>
          </w:tcPr>
          <w:p w14:paraId="23708CA7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36"/>
                <w:szCs w:val="36"/>
              </w:rPr>
              <w:t>形式</w:t>
            </w:r>
          </w:p>
        </w:tc>
        <w:tc>
          <w:tcPr>
            <w:tcW w:w="1036" w:type="pct"/>
          </w:tcPr>
          <w:p w14:paraId="37D7E309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36"/>
                <w:szCs w:val="36"/>
              </w:rPr>
              <w:t>发布条数</w:t>
            </w:r>
          </w:p>
        </w:tc>
        <w:tc>
          <w:tcPr>
            <w:tcW w:w="1434" w:type="pct"/>
          </w:tcPr>
          <w:p w14:paraId="267CDAAC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36"/>
                <w:szCs w:val="36"/>
              </w:rPr>
              <w:t>形式</w:t>
            </w:r>
          </w:p>
        </w:tc>
        <w:tc>
          <w:tcPr>
            <w:tcW w:w="1052" w:type="pct"/>
          </w:tcPr>
          <w:p w14:paraId="30EE8DD9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36"/>
                <w:szCs w:val="36"/>
              </w:rPr>
              <w:t>发布条数</w:t>
            </w:r>
          </w:p>
        </w:tc>
      </w:tr>
      <w:tr w14:paraId="41B78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8" w:hRule="atLeast"/>
        </w:trPr>
        <w:tc>
          <w:tcPr>
            <w:tcW w:w="1479" w:type="pct"/>
          </w:tcPr>
          <w:p w14:paraId="057E48E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学院门户网站</w:t>
            </w:r>
          </w:p>
        </w:tc>
        <w:tc>
          <w:tcPr>
            <w:tcW w:w="1733" w:type="dxa"/>
            <w:vAlign w:val="top"/>
          </w:tcPr>
          <w:p w14:paraId="61C6792B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7</w:t>
            </w:r>
          </w:p>
        </w:tc>
        <w:tc>
          <w:tcPr>
            <w:tcW w:w="1434" w:type="pct"/>
          </w:tcPr>
          <w:p w14:paraId="5C19910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二级网站</w:t>
            </w:r>
          </w:p>
        </w:tc>
        <w:tc>
          <w:tcPr>
            <w:tcW w:w="1759" w:type="dxa"/>
            <w:vAlign w:val="top"/>
          </w:tcPr>
          <w:p w14:paraId="0CE7808D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36</w:t>
            </w:r>
          </w:p>
        </w:tc>
      </w:tr>
      <w:tr w14:paraId="146A3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48" w:hRule="atLeast"/>
        </w:trPr>
        <w:tc>
          <w:tcPr>
            <w:tcW w:w="1479" w:type="pct"/>
          </w:tcPr>
          <w:p w14:paraId="6B00816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智慧校园</w:t>
            </w:r>
          </w:p>
        </w:tc>
        <w:tc>
          <w:tcPr>
            <w:tcW w:w="1733" w:type="dxa"/>
            <w:vAlign w:val="top"/>
          </w:tcPr>
          <w:p w14:paraId="7BE664F6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57</w:t>
            </w:r>
          </w:p>
        </w:tc>
        <w:tc>
          <w:tcPr>
            <w:tcW w:w="1434" w:type="pct"/>
          </w:tcPr>
          <w:p w14:paraId="69C9D7B5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微信公众号</w:t>
            </w:r>
          </w:p>
        </w:tc>
        <w:tc>
          <w:tcPr>
            <w:tcW w:w="1759" w:type="dxa"/>
            <w:vAlign w:val="top"/>
          </w:tcPr>
          <w:p w14:paraId="558DE3A2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9</w:t>
            </w:r>
          </w:p>
        </w:tc>
      </w:tr>
      <w:tr w14:paraId="73A6F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62" w:hRule="atLeast"/>
        </w:trPr>
        <w:tc>
          <w:tcPr>
            <w:tcW w:w="1479" w:type="pct"/>
          </w:tcPr>
          <w:p w14:paraId="68E6E79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官方微博</w:t>
            </w:r>
          </w:p>
        </w:tc>
        <w:tc>
          <w:tcPr>
            <w:tcW w:w="1733" w:type="dxa"/>
            <w:vAlign w:val="top"/>
          </w:tcPr>
          <w:p w14:paraId="109A56E9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0</w:t>
            </w:r>
          </w:p>
        </w:tc>
        <w:tc>
          <w:tcPr>
            <w:tcW w:w="1434" w:type="pct"/>
          </w:tcPr>
          <w:p w14:paraId="46819C2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宣传栏</w:t>
            </w:r>
          </w:p>
        </w:tc>
        <w:tc>
          <w:tcPr>
            <w:tcW w:w="1759" w:type="dxa"/>
            <w:vAlign w:val="top"/>
          </w:tcPr>
          <w:p w14:paraId="6A249AA2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0</w:t>
            </w:r>
          </w:p>
        </w:tc>
      </w:tr>
      <w:tr w14:paraId="5C72D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8" w:hRule="atLeast"/>
        </w:trPr>
        <w:tc>
          <w:tcPr>
            <w:tcW w:w="1479" w:type="pct"/>
          </w:tcPr>
          <w:p w14:paraId="3560D212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电子屏</w:t>
            </w:r>
          </w:p>
        </w:tc>
        <w:tc>
          <w:tcPr>
            <w:tcW w:w="1733" w:type="dxa"/>
            <w:vAlign w:val="top"/>
          </w:tcPr>
          <w:p w14:paraId="2C49DEC0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3</w:t>
            </w:r>
          </w:p>
        </w:tc>
        <w:tc>
          <w:tcPr>
            <w:tcW w:w="1434" w:type="pct"/>
          </w:tcPr>
          <w:p w14:paraId="55E7761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信息公开网站</w:t>
            </w:r>
          </w:p>
        </w:tc>
        <w:tc>
          <w:tcPr>
            <w:tcW w:w="1759" w:type="dxa"/>
            <w:vAlign w:val="top"/>
          </w:tcPr>
          <w:p w14:paraId="2E7B560D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0</w:t>
            </w:r>
          </w:p>
        </w:tc>
      </w:tr>
      <w:tr w14:paraId="0186A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8" w:hRule="atLeast"/>
        </w:trPr>
        <w:tc>
          <w:tcPr>
            <w:tcW w:w="1479" w:type="pct"/>
          </w:tcPr>
          <w:p w14:paraId="656FEEC0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6"/>
                <w:szCs w:val="36"/>
              </w:rPr>
              <w:t>共计</w:t>
            </w:r>
          </w:p>
        </w:tc>
        <w:tc>
          <w:tcPr>
            <w:tcW w:w="3521" w:type="pct"/>
            <w:gridSpan w:val="3"/>
          </w:tcPr>
          <w:p w14:paraId="275E9C75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112</w:t>
            </w:r>
          </w:p>
        </w:tc>
      </w:tr>
    </w:tbl>
    <w:p w14:paraId="1F0C951B">
      <w:pPr>
        <w:widowControl/>
        <w:jc w:val="left"/>
        <w:rPr>
          <w:rFonts w:ascii="宋体" w:hAnsi="宋体" w:cs="宋体"/>
          <w:b/>
          <w:kern w:val="0"/>
          <w:sz w:val="32"/>
          <w:szCs w:val="32"/>
        </w:rPr>
      </w:pPr>
    </w:p>
    <w:p w14:paraId="2AD47A3A">
      <w:pPr>
        <w:widowControl/>
        <w:jc w:val="left"/>
        <w:rPr>
          <w:rFonts w:ascii="方正小标宋简体" w:hAnsi="华文中宋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374347-E847-4028-A270-C1BE2FA73D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05E1BAE-A393-41DB-B9A4-62AC1ECD6D4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E97A984-8277-437A-BBA1-69C5F4513D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2CB45F7-553B-4C91-BF39-FA926CB1EFE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40892E4B-9C8B-47FD-BA6B-EE75E8D5339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0B7997B0-6A7A-42A6-9022-CA7CAD14C3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9"/>
    <w:rsid w:val="00011043"/>
    <w:rsid w:val="00043275"/>
    <w:rsid w:val="000464C4"/>
    <w:rsid w:val="0008071A"/>
    <w:rsid w:val="000A6B63"/>
    <w:rsid w:val="0019492C"/>
    <w:rsid w:val="001C7B63"/>
    <w:rsid w:val="001F08CF"/>
    <w:rsid w:val="003C091D"/>
    <w:rsid w:val="00422F55"/>
    <w:rsid w:val="005063B7"/>
    <w:rsid w:val="00512A4E"/>
    <w:rsid w:val="005311B0"/>
    <w:rsid w:val="005559B8"/>
    <w:rsid w:val="00561F07"/>
    <w:rsid w:val="00626B47"/>
    <w:rsid w:val="00635DD8"/>
    <w:rsid w:val="007A1212"/>
    <w:rsid w:val="007C2E50"/>
    <w:rsid w:val="007C316E"/>
    <w:rsid w:val="008B4461"/>
    <w:rsid w:val="009133D4"/>
    <w:rsid w:val="009335C1"/>
    <w:rsid w:val="00984A2D"/>
    <w:rsid w:val="009A2611"/>
    <w:rsid w:val="009E6171"/>
    <w:rsid w:val="00A93E89"/>
    <w:rsid w:val="00BC3FCB"/>
    <w:rsid w:val="00CC78D5"/>
    <w:rsid w:val="00D36EB5"/>
    <w:rsid w:val="00DA2F20"/>
    <w:rsid w:val="00DA46E6"/>
    <w:rsid w:val="00DB140D"/>
    <w:rsid w:val="00E0020C"/>
    <w:rsid w:val="00EA0C09"/>
    <w:rsid w:val="00EF20BF"/>
    <w:rsid w:val="00F803FF"/>
    <w:rsid w:val="05237BC9"/>
    <w:rsid w:val="05244230"/>
    <w:rsid w:val="08210B42"/>
    <w:rsid w:val="08FE0484"/>
    <w:rsid w:val="096E648C"/>
    <w:rsid w:val="0B214405"/>
    <w:rsid w:val="0E2C2BD1"/>
    <w:rsid w:val="0EF45E39"/>
    <w:rsid w:val="11EF29FD"/>
    <w:rsid w:val="126156C9"/>
    <w:rsid w:val="12CA6462"/>
    <w:rsid w:val="13D2036B"/>
    <w:rsid w:val="141E2CF7"/>
    <w:rsid w:val="166366C4"/>
    <w:rsid w:val="16E912AD"/>
    <w:rsid w:val="173F701F"/>
    <w:rsid w:val="188E3728"/>
    <w:rsid w:val="1A5B334B"/>
    <w:rsid w:val="1B0D00A7"/>
    <w:rsid w:val="1F070103"/>
    <w:rsid w:val="1F7727F6"/>
    <w:rsid w:val="207D005D"/>
    <w:rsid w:val="215D04AF"/>
    <w:rsid w:val="23CB1BE3"/>
    <w:rsid w:val="262343B3"/>
    <w:rsid w:val="294D14A6"/>
    <w:rsid w:val="2B906CF5"/>
    <w:rsid w:val="2BE37B42"/>
    <w:rsid w:val="2C3F2E78"/>
    <w:rsid w:val="2EF86E19"/>
    <w:rsid w:val="2F5F53F2"/>
    <w:rsid w:val="307B2717"/>
    <w:rsid w:val="314865E7"/>
    <w:rsid w:val="345033AD"/>
    <w:rsid w:val="345D1478"/>
    <w:rsid w:val="364C0923"/>
    <w:rsid w:val="38145497"/>
    <w:rsid w:val="38F323B7"/>
    <w:rsid w:val="39093D9D"/>
    <w:rsid w:val="39985687"/>
    <w:rsid w:val="3A9C1900"/>
    <w:rsid w:val="3B097B83"/>
    <w:rsid w:val="3DE649E2"/>
    <w:rsid w:val="3F0939EA"/>
    <w:rsid w:val="401B4686"/>
    <w:rsid w:val="41F80E62"/>
    <w:rsid w:val="4482527B"/>
    <w:rsid w:val="45ED64C7"/>
    <w:rsid w:val="47D84D6D"/>
    <w:rsid w:val="48AA124D"/>
    <w:rsid w:val="493C02E2"/>
    <w:rsid w:val="49530D9E"/>
    <w:rsid w:val="49ED4FCC"/>
    <w:rsid w:val="4C003D8D"/>
    <w:rsid w:val="4C6B4A45"/>
    <w:rsid w:val="4D462BBE"/>
    <w:rsid w:val="53310CD0"/>
    <w:rsid w:val="54163583"/>
    <w:rsid w:val="542C1497"/>
    <w:rsid w:val="56404CD3"/>
    <w:rsid w:val="59A330CE"/>
    <w:rsid w:val="59E03F73"/>
    <w:rsid w:val="5B021EDD"/>
    <w:rsid w:val="5BA46656"/>
    <w:rsid w:val="5BA760CF"/>
    <w:rsid w:val="5FA20C26"/>
    <w:rsid w:val="5FBD61EA"/>
    <w:rsid w:val="61D6556C"/>
    <w:rsid w:val="61F017BB"/>
    <w:rsid w:val="63C13E95"/>
    <w:rsid w:val="66374F8F"/>
    <w:rsid w:val="66E53170"/>
    <w:rsid w:val="69B02971"/>
    <w:rsid w:val="6A072AB4"/>
    <w:rsid w:val="6A580905"/>
    <w:rsid w:val="6AC50EB9"/>
    <w:rsid w:val="6B555325"/>
    <w:rsid w:val="6CA8212E"/>
    <w:rsid w:val="6CB664EA"/>
    <w:rsid w:val="6D117D0C"/>
    <w:rsid w:val="6FDB69A7"/>
    <w:rsid w:val="700C06A3"/>
    <w:rsid w:val="70C772C5"/>
    <w:rsid w:val="714479C8"/>
    <w:rsid w:val="76384B84"/>
    <w:rsid w:val="79CC65C1"/>
    <w:rsid w:val="79DF6126"/>
    <w:rsid w:val="7E3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1220</Words>
  <Characters>1495</Characters>
  <Lines>66</Lines>
  <Paragraphs>18</Paragraphs>
  <TotalTime>10</TotalTime>
  <ScaleCrop>false</ScaleCrop>
  <LinksUpToDate>false</LinksUpToDate>
  <CharactersWithSpaces>1539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2018-11-13T02:19:00Z</dcterms:created>
  <dc:creator>admini</dc:creator>
  <cp:lastModifiedBy>CCCarolll</cp:lastModifiedBy>
  <cp:lastPrinted>2020-11-11T01:02:00Z</cp:lastPrinted>
  <dcterms:modified xsi:type="dcterms:W3CDTF">2025-11-17T07:12:48Z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3E529CEC8E964F9CB15BEC0551FE1105_13</vt:lpwstr>
  </property>
  <property fmtid="{D5CDD505-2E9C-101B-9397-08002B2CF9AE}" pid="4" name="KSOTemplateDocerSaveRecord">
    <vt:lpwstr>eyJoZGlkIjoiYTNkNGI4NjQxZDk3YWJhZGNmODE1OTc1ZTRlYWRiZjAiLCJ1c2VySWQiOiIyNDE4MzI3NjQifQ==</vt:lpwstr>
  </property>
</Properties>
</file>