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323" w:type="dxa"/>
        <w:jc w:val="center"/>
        <w:tblLayout w:type="fixed"/>
        <w:tblCellMar>
          <w:top w:w="0" w:type="dxa"/>
          <w:left w:w="108" w:type="dxa"/>
          <w:bottom w:w="0" w:type="dxa"/>
          <w:right w:w="108" w:type="dxa"/>
        </w:tblCellMar>
      </w:tblPr>
      <w:tblGrid>
        <w:gridCol w:w="9323"/>
      </w:tblGrid>
      <w:tr w14:paraId="6759B836">
        <w:tblPrEx>
          <w:tblCellMar>
            <w:top w:w="0" w:type="dxa"/>
            <w:left w:w="108" w:type="dxa"/>
            <w:bottom w:w="0" w:type="dxa"/>
            <w:right w:w="108" w:type="dxa"/>
          </w:tblCellMar>
        </w:tblPrEx>
        <w:trPr>
          <w:trHeight w:val="1626" w:hRule="atLeast"/>
          <w:jc w:val="center"/>
        </w:trPr>
        <w:tc>
          <w:tcPr>
            <w:tcW w:w="9323" w:type="dxa"/>
            <w:noWrap w:val="0"/>
            <w:vAlign w:val="center"/>
          </w:tcPr>
          <w:tbl>
            <w:tblPr>
              <w:tblStyle w:val="5"/>
              <w:tblW w:w="9346" w:type="dxa"/>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46"/>
            </w:tblGrid>
            <w:tr w14:paraId="5FA7E05D">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8" w:hRule="atLeast"/>
                <w:jc w:val="center"/>
              </w:trPr>
              <w:tc>
                <w:tcPr>
                  <w:tcW w:w="5000" w:type="pct"/>
                  <w:noWrap w:val="0"/>
                  <w:vAlign w:val="center"/>
                </w:tcPr>
                <w:p w14:paraId="101370CC">
                  <w:pPr>
                    <w:jc w:val="distribute"/>
                    <w:rPr>
                      <w:rFonts w:ascii="方正小标宋简体" w:hAnsi="宋体" w:eastAsia="方正小标宋简体"/>
                      <w:color w:val="FF0000"/>
                      <w:spacing w:val="-11"/>
                      <w:sz w:val="72"/>
                      <w:szCs w:val="72"/>
                    </w:rPr>
                  </w:pPr>
                  <w:bookmarkStart w:id="0" w:name="_Toc250454403"/>
                  <w:bookmarkEnd w:id="0"/>
                  <w:bookmarkStart w:id="1" w:name="_Toc250454266"/>
                  <w:bookmarkEnd w:id="1"/>
                  <w:bookmarkStart w:id="2" w:name="_Toc251685251"/>
                  <w:bookmarkEnd w:id="2"/>
                  <w:bookmarkStart w:id="3" w:name="_Toc250537265"/>
                  <w:bookmarkEnd w:id="3"/>
                  <w:bookmarkStart w:id="4" w:name="_Toc251685203"/>
                  <w:bookmarkEnd w:id="4"/>
                  <w:bookmarkStart w:id="5" w:name="_Toc250498189"/>
                  <w:bookmarkEnd w:id="5"/>
                  <w:bookmarkStart w:id="6" w:name="_Toc260221961"/>
                  <w:bookmarkEnd w:id="6"/>
                  <w:r>
                    <w:rPr>
                      <w:rFonts w:hint="eastAsia" w:ascii="方正小标宋简体" w:hAnsi="宋体" w:eastAsia="方正小标宋简体"/>
                      <w:color w:val="FF0000"/>
                      <w:spacing w:val="-11"/>
                      <w:sz w:val="72"/>
                      <w:szCs w:val="72"/>
                    </w:rPr>
                    <w:t>北京青年政治学院文件</w:t>
                  </w:r>
                </w:p>
                <w:p w14:paraId="78914ED4">
                  <w:pPr>
                    <w:rPr>
                      <w:rFonts w:hint="eastAsia" w:ascii="方正小标宋简体" w:hAnsi="宋体" w:eastAsia="方正小标宋简体"/>
                      <w:b/>
                      <w:color w:val="000000"/>
                      <w:spacing w:val="-24"/>
                    </w:rPr>
                  </w:pPr>
                </w:p>
              </w:tc>
            </w:tr>
            <w:tr w14:paraId="6117980B">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5000" w:type="pct"/>
                  <w:noWrap w:val="0"/>
                  <w:vAlign w:val="center"/>
                </w:tcPr>
                <w:p w14:paraId="41572564">
                  <w:pPr>
                    <w:jc w:val="center"/>
                    <w:rPr>
                      <w:rFonts w:hint="eastAsia" w:ascii="仿宋_GB2312" w:hAnsi="宋体" w:eastAsia="仿宋_GB2312"/>
                      <w:color w:val="000000"/>
                      <w:sz w:val="32"/>
                      <w:szCs w:val="32"/>
                    </w:rPr>
                  </w:pPr>
                  <w:r>
                    <w:rPr>
                      <w:rFonts w:hint="eastAsia" w:ascii="仿宋_GB2312" w:hAnsi="宋体" w:eastAsia="仿宋_GB2312"/>
                      <w:color w:val="000000"/>
                      <w:sz w:val="32"/>
                      <w:szCs w:val="32"/>
                    </w:rPr>
                    <w:t>院发〔</w:t>
                  </w:r>
                  <w:r>
                    <w:rPr>
                      <w:rFonts w:hint="eastAsia" w:ascii="仿宋_GB2312" w:eastAsia="仿宋_GB2312"/>
                      <w:color w:val="000000"/>
                      <w:sz w:val="32"/>
                      <w:szCs w:val="32"/>
                    </w:rPr>
                    <w:t>2024</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28</w:t>
                  </w:r>
                  <w:r>
                    <w:rPr>
                      <w:rFonts w:hint="eastAsia" w:ascii="仿宋_GB2312" w:eastAsia="仿宋_GB2312"/>
                      <w:color w:val="000000"/>
                      <w:sz w:val="32"/>
                      <w:szCs w:val="32"/>
                    </w:rPr>
                    <w:t>号</w:t>
                  </w:r>
                </w:p>
              </w:tc>
            </w:tr>
          </w:tbl>
          <w:p w14:paraId="6198045B">
            <w:pPr>
              <w:adjustRightInd w:val="0"/>
              <w:spacing w:line="600" w:lineRule="exact"/>
              <w:jc w:val="center"/>
              <w:rPr>
                <w:rFonts w:ascii="方正小标宋简体" w:hAnsi="宋体" w:eastAsia="方正小标宋简体"/>
                <w:color w:val="000000"/>
                <w:spacing w:val="-10"/>
                <w:sz w:val="60"/>
                <w:szCs w:val="60"/>
              </w:rPr>
            </w:pPr>
          </w:p>
        </w:tc>
      </w:tr>
    </w:tbl>
    <w:p w14:paraId="37C6476E">
      <w:pPr>
        <w:spacing w:line="600" w:lineRule="exact"/>
        <w:jc w:val="center"/>
        <w:rPr>
          <w:rFonts w:hint="eastAsia" w:ascii="方正小标宋简体" w:hAnsi="方正小标宋简体" w:eastAsia="方正小标宋简体" w:cs="方正小标宋简体"/>
          <w:sz w:val="44"/>
          <w:szCs w:val="44"/>
        </w:rPr>
      </w:pPr>
    </w:p>
    <w:p w14:paraId="2CC19701">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北京青年政治学院</w:t>
      </w:r>
    </w:p>
    <w:p w14:paraId="5F069255">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bCs/>
          <w:sz w:val="44"/>
          <w:szCs w:val="44"/>
          <w:highlight w:val="none"/>
        </w:rPr>
        <w:t>北京青年政治学院学生申诉</w:t>
      </w:r>
    </w:p>
    <w:p w14:paraId="3FA76190">
      <w:pPr>
        <w:keepNext w:val="0"/>
        <w:keepLines w:val="0"/>
        <w:pageBreakBefore w:val="0"/>
        <w:widowControl w:val="0"/>
        <w:kinsoku/>
        <w:wordWrap/>
        <w:overflowPunct/>
        <w:topLinePunct w:val="0"/>
        <w:autoSpaceDE/>
        <w:autoSpaceDN/>
        <w:bidi w:val="0"/>
        <w:spacing w:line="60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sz w:val="44"/>
          <w:szCs w:val="44"/>
          <w:highlight w:val="none"/>
        </w:rPr>
        <w:t>处理办法</w:t>
      </w:r>
      <w:r>
        <w:rPr>
          <w:rFonts w:hint="eastAsia" w:ascii="方正小标宋简体" w:hAnsi="方正小标宋简体" w:eastAsia="方正小标宋简体" w:cs="方正小标宋简体"/>
          <w:sz w:val="44"/>
          <w:szCs w:val="44"/>
        </w:rPr>
        <w:t>》的通知</w:t>
      </w:r>
    </w:p>
    <w:p w14:paraId="6ED79099">
      <w:pPr>
        <w:rPr>
          <w:rFonts w:ascii="仿宋_GB2312" w:hAnsi="黑体" w:eastAsia="仿宋_GB2312"/>
          <w:sz w:val="32"/>
          <w:szCs w:val="32"/>
        </w:rPr>
      </w:pPr>
    </w:p>
    <w:p w14:paraId="7256F69D">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14:paraId="3D35D8D9">
      <w:pPr>
        <w:widowControl/>
        <w:spacing w:line="560" w:lineRule="exact"/>
        <w:ind w:firstLine="640" w:firstLineChars="200"/>
        <w:rPr>
          <w:rFonts w:hint="eastAsia" w:ascii="楷体_GB2312" w:hAnsi="楷体" w:eastAsia="楷体_GB2312"/>
          <w:sz w:val="32"/>
          <w:szCs w:val="32"/>
        </w:rPr>
      </w:pPr>
      <w:r>
        <w:rPr>
          <w:rFonts w:hint="eastAsia" w:ascii="楷体_GB2312" w:hAnsi="楷体" w:eastAsia="楷体_GB2312"/>
          <w:sz w:val="32"/>
          <w:szCs w:val="32"/>
          <w:lang w:val="en-US" w:eastAsia="zh-CN"/>
        </w:rPr>
        <w:t>新修订的</w:t>
      </w:r>
      <w:r>
        <w:rPr>
          <w:rFonts w:hint="eastAsia" w:ascii="楷体_GB2312" w:hAnsi="楷体" w:eastAsia="楷体_GB2312"/>
          <w:sz w:val="32"/>
          <w:szCs w:val="32"/>
        </w:rPr>
        <w:t>《北京青年政治学院学生申诉处理办法》经学院202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w:t>
      </w:r>
      <w:r>
        <w:rPr>
          <w:rFonts w:hint="eastAsia" w:ascii="楷体_GB2312" w:hAnsi="楷体" w:eastAsia="楷体_GB2312"/>
          <w:sz w:val="32"/>
          <w:szCs w:val="32"/>
          <w:lang w:val="en-US" w:eastAsia="zh-CN"/>
        </w:rPr>
        <w:t>12</w:t>
      </w:r>
      <w:r>
        <w:rPr>
          <w:rFonts w:hint="eastAsia" w:ascii="楷体_GB2312" w:hAnsi="楷体" w:eastAsia="楷体_GB2312"/>
          <w:sz w:val="32"/>
          <w:szCs w:val="32"/>
        </w:rPr>
        <w:t>月</w:t>
      </w:r>
      <w:r>
        <w:rPr>
          <w:rFonts w:hint="eastAsia" w:ascii="楷体_GB2312" w:hAnsi="楷体" w:eastAsia="楷体_GB2312"/>
          <w:sz w:val="32"/>
          <w:szCs w:val="32"/>
          <w:lang w:val="en-US" w:eastAsia="zh-CN"/>
        </w:rPr>
        <w:t>6</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32</w:t>
      </w:r>
      <w:r>
        <w:rPr>
          <w:rFonts w:hint="eastAsia" w:ascii="楷体_GB2312" w:hAnsi="楷体" w:eastAsia="楷体_GB2312"/>
          <w:sz w:val="32"/>
          <w:szCs w:val="32"/>
        </w:rPr>
        <w:t>次院长办公会讨论通过，现印发给你们，请认真遵照执行。</w:t>
      </w:r>
    </w:p>
    <w:p w14:paraId="2EB79E1F">
      <w:pPr>
        <w:spacing w:line="560" w:lineRule="exact"/>
        <w:jc w:val="center"/>
        <w:rPr>
          <w:rFonts w:ascii="楷体_GB2312" w:hAnsi="楷体" w:eastAsia="楷体_GB2312"/>
          <w:bCs/>
          <w:color w:val="000000" w:themeColor="text1"/>
          <w:sz w:val="44"/>
          <w:szCs w:val="44"/>
          <w14:textFill>
            <w14:solidFill>
              <w14:schemeClr w14:val="tx1"/>
            </w14:solidFill>
          </w14:textFill>
        </w:rPr>
      </w:pPr>
    </w:p>
    <w:p w14:paraId="4855FCCA">
      <w:pPr>
        <w:pStyle w:val="2"/>
        <w:spacing w:line="560" w:lineRule="exact"/>
        <w:rPr>
          <w:rFonts w:ascii="楷体_GB2312" w:eastAsia="楷体_GB2312"/>
        </w:rPr>
      </w:pPr>
      <w:bookmarkStart w:id="7" w:name="_GoBack"/>
      <w:bookmarkEnd w:id="7"/>
    </w:p>
    <w:p w14:paraId="7DC3A7B6">
      <w:pPr>
        <w:spacing w:line="560" w:lineRule="exact"/>
        <w:ind w:firstLine="5120" w:firstLineChars="16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北京青年政治学院</w:t>
      </w:r>
    </w:p>
    <w:p w14:paraId="2246AAED">
      <w:pPr>
        <w:spacing w:line="560" w:lineRule="exact"/>
        <w:ind w:firstLine="5120" w:firstLineChars="16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202</w:t>
      </w:r>
      <w:r>
        <w:rPr>
          <w:rFonts w:hint="eastAsia" w:ascii="楷体_GB2312" w:hAnsi="楷体" w:eastAsia="楷体_GB2312"/>
          <w:color w:val="000000" w:themeColor="text1"/>
          <w:sz w:val="32"/>
          <w:szCs w:val="32"/>
          <w:lang w:val="en-US" w:eastAsia="zh-CN"/>
          <w14:textFill>
            <w14:solidFill>
              <w14:schemeClr w14:val="tx1"/>
            </w14:solidFill>
          </w14:textFill>
        </w:rPr>
        <w:t>4</w:t>
      </w:r>
      <w:r>
        <w:rPr>
          <w:rFonts w:hint="eastAsia" w:ascii="楷体_GB2312" w:hAnsi="楷体" w:eastAsia="楷体_GB2312"/>
          <w:color w:val="000000" w:themeColor="text1"/>
          <w:sz w:val="32"/>
          <w:szCs w:val="32"/>
          <w14:textFill>
            <w14:solidFill>
              <w14:schemeClr w14:val="tx1"/>
            </w14:solidFill>
          </w14:textFill>
        </w:rPr>
        <w:t>年</w:t>
      </w:r>
      <w:r>
        <w:rPr>
          <w:rFonts w:hint="eastAsia" w:ascii="楷体_GB2312" w:hAnsi="楷体" w:eastAsia="楷体_GB2312"/>
          <w:color w:val="000000" w:themeColor="text1"/>
          <w:sz w:val="32"/>
          <w:szCs w:val="32"/>
          <w:lang w:val="en-US" w:eastAsia="zh-CN"/>
          <w14:textFill>
            <w14:solidFill>
              <w14:schemeClr w14:val="tx1"/>
            </w14:solidFill>
          </w14:textFill>
        </w:rPr>
        <w:t>12</w:t>
      </w:r>
      <w:r>
        <w:rPr>
          <w:rFonts w:hint="eastAsia" w:ascii="楷体_GB2312" w:hAnsi="楷体" w:eastAsia="楷体_GB2312"/>
          <w:color w:val="000000" w:themeColor="text1"/>
          <w:sz w:val="32"/>
          <w:szCs w:val="32"/>
          <w14:textFill>
            <w14:solidFill>
              <w14:schemeClr w14:val="tx1"/>
            </w14:solidFill>
          </w14:textFill>
        </w:rPr>
        <w:t>月</w:t>
      </w:r>
      <w:r>
        <w:rPr>
          <w:rFonts w:hint="eastAsia" w:ascii="楷体_GB2312" w:hAnsi="楷体" w:eastAsia="楷体_GB2312"/>
          <w:color w:val="000000" w:themeColor="text1"/>
          <w:sz w:val="32"/>
          <w:szCs w:val="32"/>
          <w:lang w:val="en-US" w:eastAsia="zh-CN"/>
          <w14:textFill>
            <w14:solidFill>
              <w14:schemeClr w14:val="tx1"/>
            </w14:solidFill>
          </w14:textFill>
        </w:rPr>
        <w:t>18</w:t>
      </w:r>
      <w:r>
        <w:rPr>
          <w:rFonts w:hint="eastAsia" w:ascii="楷体_GB2312" w:hAnsi="楷体" w:eastAsia="楷体_GB2312"/>
          <w:color w:val="000000" w:themeColor="text1"/>
          <w:sz w:val="32"/>
          <w:szCs w:val="32"/>
          <w14:textFill>
            <w14:solidFill>
              <w14:schemeClr w14:val="tx1"/>
            </w14:solidFill>
          </w14:textFill>
        </w:rPr>
        <w:t>日</w:t>
      </w:r>
    </w:p>
    <w:p w14:paraId="204AFE74">
      <w:pPr>
        <w:spacing w:line="560" w:lineRule="exact"/>
        <w:ind w:firstLine="640" w:firstLineChars="200"/>
        <w:rPr>
          <w:rFonts w:ascii="仿宋_GB2312" w:hAnsi="黑体" w:eastAsia="仿宋_GB2312"/>
          <w:sz w:val="32"/>
          <w:szCs w:val="32"/>
        </w:rPr>
      </w:pPr>
    </w:p>
    <w:p w14:paraId="462000B1">
      <w:pPr>
        <w:keepNext w:val="0"/>
        <w:keepLines w:val="0"/>
        <w:pageBreakBefore w:val="0"/>
        <w:widowControl w:val="0"/>
        <w:kinsoku/>
        <w:wordWrap/>
        <w:overflowPunct/>
        <w:topLinePunct w:val="0"/>
        <w:autoSpaceDE/>
        <w:autoSpaceDN/>
        <w:bidi w:val="0"/>
        <w:adjustRightInd w:val="0"/>
        <w:snapToGrid w:val="0"/>
        <w:spacing w:line="560" w:lineRule="exact"/>
        <w:ind w:left="0" w:firstLine="0"/>
        <w:jc w:val="center"/>
        <w:textAlignment w:val="auto"/>
        <w:outlineLvl w:val="9"/>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北京青年政治学院学生申诉处理办法</w:t>
      </w:r>
    </w:p>
    <w:p w14:paraId="61EFE64A">
      <w:pPr>
        <w:keepNext w:val="0"/>
        <w:keepLines w:val="0"/>
        <w:pageBreakBefore w:val="0"/>
        <w:widowControl w:val="0"/>
        <w:tabs>
          <w:tab w:val="left" w:pos="630"/>
        </w:tabs>
        <w:kinsoku/>
        <w:wordWrap/>
        <w:overflowPunct/>
        <w:topLinePunct w:val="0"/>
        <w:autoSpaceDE/>
        <w:autoSpaceDN/>
        <w:bidi w:val="0"/>
        <w:adjustRightInd w:val="0"/>
        <w:snapToGrid w:val="0"/>
        <w:spacing w:before="313" w:beforeLines="100" w:line="560" w:lineRule="exact"/>
        <w:jc w:val="center"/>
        <w:textAlignment w:val="auto"/>
      </w:pPr>
      <w:r>
        <w:rPr>
          <w:rFonts w:hint="eastAsia" w:ascii="仿宋_GB2312" w:hAnsi="仿宋_GB2312" w:eastAsia="仿宋_GB2312" w:cs="仿宋_GB2312"/>
          <w:bCs/>
          <w:color w:val="000000"/>
          <w:kern w:val="0"/>
          <w:sz w:val="32"/>
          <w:szCs w:val="32"/>
        </w:rPr>
        <w:t>（20</w:t>
      </w:r>
      <w:r>
        <w:rPr>
          <w:rFonts w:hint="eastAsia" w:ascii="仿宋_GB2312" w:hAnsi="仿宋_GB2312" w:eastAsia="仿宋_GB2312" w:cs="仿宋_GB2312"/>
          <w:bCs/>
          <w:color w:val="000000"/>
          <w:kern w:val="0"/>
          <w:sz w:val="32"/>
          <w:szCs w:val="32"/>
          <w:lang w:val="en-US" w:eastAsia="zh-CN"/>
        </w:rPr>
        <w:t>12</w:t>
      </w:r>
      <w:r>
        <w:rPr>
          <w:rFonts w:hint="eastAsia" w:ascii="仿宋_GB2312" w:hAnsi="仿宋_GB2312" w:eastAsia="仿宋_GB2312" w:cs="仿宋_GB2312"/>
          <w:bCs/>
          <w:color w:val="000000"/>
          <w:kern w:val="0"/>
          <w:sz w:val="32"/>
          <w:szCs w:val="32"/>
        </w:rPr>
        <w:t>年</w:t>
      </w:r>
      <w:r>
        <w:rPr>
          <w:rFonts w:hint="eastAsia" w:ascii="仿宋_GB2312" w:hAnsi="仿宋_GB2312" w:eastAsia="仿宋_GB2312" w:cs="仿宋_GB2312"/>
          <w:bCs/>
          <w:color w:val="000000"/>
          <w:kern w:val="0"/>
          <w:sz w:val="32"/>
          <w:szCs w:val="32"/>
          <w:lang w:val="en-US" w:eastAsia="zh-CN"/>
        </w:rPr>
        <w:t>7</w:t>
      </w:r>
      <w:r>
        <w:rPr>
          <w:rFonts w:hint="eastAsia" w:ascii="仿宋_GB2312" w:hAnsi="仿宋_GB2312" w:eastAsia="仿宋_GB2312" w:cs="仿宋_GB2312"/>
          <w:bCs/>
          <w:color w:val="000000"/>
          <w:kern w:val="0"/>
          <w:sz w:val="32"/>
          <w:szCs w:val="32"/>
        </w:rPr>
        <w:t>月</w:t>
      </w:r>
      <w:r>
        <w:rPr>
          <w:rFonts w:hint="eastAsia" w:ascii="仿宋_GB2312" w:hAnsi="仿宋_GB2312" w:eastAsia="仿宋_GB2312" w:cs="仿宋_GB2312"/>
          <w:bCs/>
          <w:color w:val="000000"/>
          <w:kern w:val="0"/>
          <w:sz w:val="32"/>
          <w:szCs w:val="32"/>
          <w:lang w:val="en-US" w:eastAsia="zh-CN"/>
        </w:rPr>
        <w:t>3</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8</w:t>
      </w:r>
      <w:r>
        <w:rPr>
          <w:rFonts w:hint="eastAsia" w:ascii="仿宋_GB2312" w:hAnsi="仿宋_GB2312" w:eastAsia="仿宋_GB2312" w:cs="仿宋_GB2312"/>
          <w:bCs/>
          <w:color w:val="000000"/>
          <w:kern w:val="0"/>
          <w:sz w:val="32"/>
          <w:szCs w:val="32"/>
        </w:rPr>
        <w:t>次院长办公会</w:t>
      </w:r>
      <w:r>
        <w:rPr>
          <w:rFonts w:hint="eastAsia" w:ascii="仿宋_GB2312" w:hAnsi="仿宋_GB2312" w:eastAsia="仿宋_GB2312" w:cs="仿宋_GB2312"/>
          <w:bCs/>
          <w:color w:val="000000"/>
          <w:kern w:val="0"/>
          <w:sz w:val="32"/>
          <w:szCs w:val="32"/>
          <w:lang w:eastAsia="zh-CN"/>
        </w:rPr>
        <w:t>议</w:t>
      </w:r>
      <w:r>
        <w:rPr>
          <w:rFonts w:hint="eastAsia" w:ascii="仿宋_GB2312" w:hAnsi="仿宋_GB2312" w:eastAsia="仿宋_GB2312" w:cs="仿宋_GB2312"/>
          <w:bCs/>
          <w:color w:val="000000"/>
          <w:kern w:val="0"/>
          <w:sz w:val="32"/>
          <w:szCs w:val="32"/>
          <w:lang w:val="en-US" w:eastAsia="zh-CN"/>
        </w:rPr>
        <w:t xml:space="preserve">通过  </w:t>
      </w:r>
      <w:r>
        <w:rPr>
          <w:rFonts w:hint="eastAsia" w:ascii="仿宋_GB2312" w:hAnsi="仿宋_GB2312" w:eastAsia="仿宋_GB2312" w:cs="仿宋_GB2312"/>
          <w:bCs/>
          <w:color w:val="000000"/>
          <w:kern w:val="0"/>
          <w:sz w:val="32"/>
          <w:szCs w:val="32"/>
        </w:rPr>
        <w:t>201</w:t>
      </w:r>
      <w:r>
        <w:rPr>
          <w:rFonts w:hint="eastAsia" w:ascii="仿宋_GB2312" w:hAnsi="仿宋_GB2312" w:eastAsia="仿宋_GB2312" w:cs="仿宋_GB2312"/>
          <w:bCs/>
          <w:color w:val="000000"/>
          <w:kern w:val="0"/>
          <w:sz w:val="32"/>
          <w:szCs w:val="32"/>
          <w:lang w:val="en-US" w:eastAsia="zh-CN"/>
        </w:rPr>
        <w:t>2</w:t>
      </w:r>
      <w:r>
        <w:rPr>
          <w:rFonts w:hint="eastAsia" w:ascii="仿宋_GB2312" w:hAnsi="仿宋_GB2312" w:eastAsia="仿宋_GB2312" w:cs="仿宋_GB2312"/>
          <w:bCs/>
          <w:color w:val="000000"/>
          <w:kern w:val="0"/>
          <w:sz w:val="32"/>
          <w:szCs w:val="32"/>
        </w:rPr>
        <w:t>年</w:t>
      </w:r>
      <w:r>
        <w:rPr>
          <w:rFonts w:hint="eastAsia" w:ascii="仿宋_GB2312" w:hAnsi="仿宋_GB2312" w:eastAsia="仿宋_GB2312" w:cs="仿宋_GB2312"/>
          <w:bCs/>
          <w:color w:val="000000"/>
          <w:kern w:val="0"/>
          <w:sz w:val="32"/>
          <w:szCs w:val="32"/>
          <w:lang w:val="en-US" w:eastAsia="zh-CN"/>
        </w:rPr>
        <w:t>6</w:t>
      </w:r>
      <w:r>
        <w:rPr>
          <w:rFonts w:hint="eastAsia" w:ascii="仿宋_GB2312" w:hAnsi="仿宋_GB2312" w:eastAsia="仿宋_GB2312" w:cs="仿宋_GB2312"/>
          <w:bCs/>
          <w:color w:val="000000"/>
          <w:kern w:val="0"/>
          <w:sz w:val="32"/>
          <w:szCs w:val="32"/>
        </w:rPr>
        <w:t>月</w:t>
      </w:r>
      <w:r>
        <w:rPr>
          <w:rFonts w:hint="eastAsia" w:ascii="仿宋_GB2312" w:hAnsi="仿宋_GB2312" w:eastAsia="仿宋_GB2312" w:cs="仿宋_GB2312"/>
          <w:bCs/>
          <w:color w:val="000000"/>
          <w:kern w:val="0"/>
          <w:sz w:val="32"/>
          <w:szCs w:val="32"/>
          <w:lang w:val="en-US" w:eastAsia="zh-CN"/>
        </w:rPr>
        <w:t>28</w:t>
      </w:r>
      <w:r>
        <w:rPr>
          <w:rFonts w:hint="eastAsia" w:ascii="仿宋_GB2312" w:hAnsi="仿宋_GB2312" w:eastAsia="仿宋_GB2312" w:cs="仿宋_GB2312"/>
          <w:bCs/>
          <w:color w:val="000000"/>
          <w:kern w:val="0"/>
          <w:sz w:val="32"/>
          <w:szCs w:val="32"/>
        </w:rPr>
        <w:t>日</w:t>
      </w:r>
      <w:r>
        <w:rPr>
          <w:rFonts w:hint="eastAsia" w:ascii="仿宋_GB2312" w:hAnsi="仿宋_GB2312" w:eastAsia="仿宋_GB2312" w:cs="仿宋_GB2312"/>
          <w:bCs/>
          <w:color w:val="000000"/>
          <w:kern w:val="0"/>
          <w:sz w:val="32"/>
          <w:szCs w:val="32"/>
          <w:lang w:eastAsia="zh-CN"/>
        </w:rPr>
        <w:t>发布</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20</w:t>
      </w:r>
      <w:r>
        <w:rPr>
          <w:rFonts w:hint="eastAsia" w:ascii="仿宋_GB2312" w:hAnsi="仿宋_GB2312" w:eastAsia="仿宋_GB2312" w:cs="仿宋_GB2312"/>
          <w:bCs/>
          <w:color w:val="000000"/>
          <w:kern w:val="0"/>
          <w:sz w:val="32"/>
          <w:szCs w:val="32"/>
          <w:lang w:val="en-US" w:eastAsia="zh-CN"/>
        </w:rPr>
        <w:t>17</w:t>
      </w:r>
      <w:r>
        <w:rPr>
          <w:rFonts w:hint="eastAsia" w:ascii="仿宋_GB2312" w:hAnsi="仿宋_GB2312" w:eastAsia="仿宋_GB2312" w:cs="仿宋_GB2312"/>
          <w:bCs/>
          <w:color w:val="000000"/>
          <w:kern w:val="0"/>
          <w:sz w:val="32"/>
          <w:szCs w:val="32"/>
        </w:rPr>
        <w:t>年</w:t>
      </w:r>
      <w:r>
        <w:rPr>
          <w:rFonts w:hint="eastAsia" w:ascii="仿宋_GB2312" w:hAnsi="仿宋_GB2312" w:eastAsia="仿宋_GB2312" w:cs="仿宋_GB2312"/>
          <w:bCs/>
          <w:color w:val="000000"/>
          <w:kern w:val="0"/>
          <w:sz w:val="32"/>
          <w:szCs w:val="32"/>
          <w:lang w:val="en-US" w:eastAsia="zh-CN"/>
        </w:rPr>
        <w:t>6</w:t>
      </w:r>
      <w:r>
        <w:rPr>
          <w:rFonts w:hint="eastAsia" w:ascii="仿宋_GB2312" w:hAnsi="仿宋_GB2312" w:eastAsia="仿宋_GB2312" w:cs="仿宋_GB2312"/>
          <w:bCs/>
          <w:color w:val="000000"/>
          <w:kern w:val="0"/>
          <w:sz w:val="32"/>
          <w:szCs w:val="32"/>
        </w:rPr>
        <w:t>月</w:t>
      </w:r>
      <w:r>
        <w:rPr>
          <w:rFonts w:ascii="仿宋_GB2312" w:hAnsi="仿宋_GB2312" w:eastAsia="仿宋_GB2312" w:cs="仿宋_GB2312"/>
          <w:bCs/>
          <w:color w:val="000000"/>
          <w:kern w:val="0"/>
          <w:sz w:val="32"/>
          <w:szCs w:val="32"/>
        </w:rPr>
        <w:t>6</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9</w:t>
      </w:r>
      <w:r>
        <w:rPr>
          <w:rFonts w:hint="eastAsia" w:ascii="仿宋_GB2312" w:hAnsi="仿宋_GB2312" w:eastAsia="仿宋_GB2312" w:cs="仿宋_GB2312"/>
          <w:bCs/>
          <w:color w:val="000000"/>
          <w:kern w:val="0"/>
          <w:sz w:val="32"/>
          <w:szCs w:val="32"/>
        </w:rPr>
        <w:t>次院长办公会</w:t>
      </w:r>
      <w:r>
        <w:rPr>
          <w:rFonts w:hint="eastAsia" w:ascii="仿宋_GB2312" w:hAnsi="仿宋_GB2312" w:eastAsia="仿宋_GB2312" w:cs="仿宋_GB2312"/>
          <w:bCs/>
          <w:color w:val="000000"/>
          <w:kern w:val="0"/>
          <w:sz w:val="32"/>
          <w:szCs w:val="32"/>
          <w:lang w:eastAsia="zh-CN"/>
        </w:rPr>
        <w:t>议</w:t>
      </w:r>
      <w:r>
        <w:rPr>
          <w:rFonts w:hint="eastAsia" w:ascii="仿宋_GB2312" w:hAnsi="仿宋_GB2312" w:eastAsia="仿宋_GB2312" w:cs="仿宋_GB2312"/>
          <w:bCs/>
          <w:color w:val="000000"/>
          <w:kern w:val="0"/>
          <w:sz w:val="32"/>
          <w:szCs w:val="32"/>
          <w:lang w:val="en-US" w:eastAsia="zh-CN"/>
        </w:rPr>
        <w:t>第一次</w:t>
      </w:r>
      <w:r>
        <w:rPr>
          <w:rFonts w:hint="eastAsia" w:ascii="仿宋_GB2312" w:hAnsi="仿宋_GB2312" w:eastAsia="仿宋_GB2312" w:cs="仿宋_GB2312"/>
          <w:bCs/>
          <w:color w:val="000000"/>
          <w:kern w:val="0"/>
          <w:sz w:val="32"/>
          <w:szCs w:val="32"/>
        </w:rPr>
        <w:t>修订</w:t>
      </w:r>
      <w:r>
        <w:rPr>
          <w:rFonts w:hint="eastAsia" w:ascii="仿宋_GB2312" w:hAnsi="仿宋_GB2312" w:eastAsia="仿宋_GB2312" w:cs="仿宋_GB2312"/>
          <w:bCs/>
          <w:color w:val="000000"/>
          <w:kern w:val="0"/>
          <w:sz w:val="32"/>
          <w:szCs w:val="32"/>
          <w:lang w:val="en-US" w:eastAsia="zh-CN"/>
        </w:rPr>
        <w:t xml:space="preserve">  2017年6月14日发布  </w:t>
      </w:r>
      <w:r>
        <w:rPr>
          <w:rFonts w:hint="eastAsia" w:ascii="仿宋_GB2312" w:hAnsi="仿宋_GB2312" w:eastAsia="仿宋_GB2312" w:cs="仿宋_GB2312"/>
          <w:bCs/>
          <w:color w:val="000000"/>
          <w:kern w:val="0"/>
          <w:sz w:val="32"/>
          <w:szCs w:val="32"/>
        </w:rPr>
        <w:t>20</w:t>
      </w:r>
      <w:r>
        <w:rPr>
          <w:rFonts w:hint="eastAsia" w:ascii="仿宋_GB2312" w:hAnsi="仿宋_GB2312" w:eastAsia="仿宋_GB2312" w:cs="仿宋_GB2312"/>
          <w:bCs/>
          <w:color w:val="000000"/>
          <w:kern w:val="0"/>
          <w:sz w:val="32"/>
          <w:szCs w:val="32"/>
          <w:lang w:val="en-US" w:eastAsia="zh-CN"/>
        </w:rPr>
        <w:t>18</w:t>
      </w:r>
      <w:r>
        <w:rPr>
          <w:rFonts w:hint="eastAsia" w:ascii="仿宋_GB2312" w:hAnsi="仿宋_GB2312" w:eastAsia="仿宋_GB2312" w:cs="仿宋_GB2312"/>
          <w:bCs/>
          <w:color w:val="000000"/>
          <w:kern w:val="0"/>
          <w:sz w:val="32"/>
          <w:szCs w:val="32"/>
        </w:rPr>
        <w:t>年</w:t>
      </w:r>
      <w:r>
        <w:rPr>
          <w:rFonts w:hint="eastAsia" w:ascii="仿宋_GB2312" w:hAnsi="仿宋_GB2312" w:eastAsia="仿宋_GB2312" w:cs="仿宋_GB2312"/>
          <w:bCs/>
          <w:color w:val="000000"/>
          <w:kern w:val="0"/>
          <w:sz w:val="32"/>
          <w:szCs w:val="32"/>
          <w:lang w:val="en-US" w:eastAsia="zh-CN"/>
        </w:rPr>
        <w:t>7</w:t>
      </w:r>
      <w:r>
        <w:rPr>
          <w:rFonts w:hint="eastAsia" w:ascii="仿宋_GB2312" w:hAnsi="仿宋_GB2312" w:eastAsia="仿宋_GB2312" w:cs="仿宋_GB2312"/>
          <w:bCs/>
          <w:color w:val="000000"/>
          <w:kern w:val="0"/>
          <w:sz w:val="32"/>
          <w:szCs w:val="32"/>
        </w:rPr>
        <w:t>月</w:t>
      </w:r>
      <w:r>
        <w:rPr>
          <w:rFonts w:hint="eastAsia" w:ascii="仿宋_GB2312" w:hAnsi="仿宋_GB2312" w:eastAsia="仿宋_GB2312" w:cs="仿宋_GB2312"/>
          <w:bCs/>
          <w:color w:val="000000"/>
          <w:kern w:val="0"/>
          <w:sz w:val="32"/>
          <w:szCs w:val="32"/>
          <w:lang w:val="en-US" w:eastAsia="zh-CN"/>
        </w:rPr>
        <w:t>18</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12</w:t>
      </w:r>
      <w:r>
        <w:rPr>
          <w:rFonts w:hint="eastAsia" w:ascii="仿宋_GB2312" w:hAnsi="仿宋_GB2312" w:eastAsia="仿宋_GB2312" w:cs="仿宋_GB2312"/>
          <w:bCs/>
          <w:color w:val="000000"/>
          <w:kern w:val="0"/>
          <w:sz w:val="32"/>
          <w:szCs w:val="32"/>
        </w:rPr>
        <w:t>次院长办公会</w:t>
      </w:r>
      <w:r>
        <w:rPr>
          <w:rFonts w:hint="eastAsia" w:ascii="仿宋_GB2312" w:hAnsi="仿宋_GB2312" w:eastAsia="仿宋_GB2312" w:cs="仿宋_GB2312"/>
          <w:bCs/>
          <w:color w:val="000000"/>
          <w:kern w:val="0"/>
          <w:sz w:val="32"/>
          <w:szCs w:val="32"/>
          <w:lang w:eastAsia="zh-CN"/>
        </w:rPr>
        <w:t>议</w:t>
      </w:r>
      <w:r>
        <w:rPr>
          <w:rFonts w:hint="eastAsia" w:ascii="仿宋_GB2312" w:hAnsi="仿宋_GB2312" w:eastAsia="仿宋_GB2312" w:cs="仿宋_GB2312"/>
          <w:bCs/>
          <w:color w:val="000000"/>
          <w:kern w:val="0"/>
          <w:sz w:val="32"/>
          <w:szCs w:val="32"/>
          <w:lang w:val="en-US" w:eastAsia="zh-CN"/>
        </w:rPr>
        <w:t>第二次</w:t>
      </w:r>
      <w:r>
        <w:rPr>
          <w:rFonts w:hint="eastAsia" w:ascii="仿宋_GB2312" w:hAnsi="仿宋_GB2312" w:eastAsia="仿宋_GB2312" w:cs="仿宋_GB2312"/>
          <w:bCs/>
          <w:color w:val="000000"/>
          <w:kern w:val="0"/>
          <w:sz w:val="32"/>
          <w:szCs w:val="32"/>
        </w:rPr>
        <w:t>修订</w:t>
      </w:r>
      <w:r>
        <w:rPr>
          <w:rFonts w:hint="eastAsia" w:ascii="仿宋_GB2312" w:hAnsi="仿宋_GB2312" w:eastAsia="仿宋_GB2312" w:cs="仿宋_GB2312"/>
          <w:bCs/>
          <w:color w:val="000000"/>
          <w:kern w:val="0"/>
          <w:sz w:val="32"/>
          <w:szCs w:val="32"/>
          <w:lang w:val="en-US" w:eastAsia="zh-CN"/>
        </w:rPr>
        <w:t xml:space="preserve">  2018年7月19日发布  2024年12月6日</w:t>
      </w:r>
      <w:r>
        <w:rPr>
          <w:rFonts w:hint="eastAsia" w:ascii="仿宋_GB2312" w:hAnsi="仿宋_GB2312" w:eastAsia="仿宋_GB2312" w:cs="仿宋_GB2312"/>
          <w:bCs/>
          <w:color w:val="000000"/>
          <w:kern w:val="0"/>
          <w:sz w:val="32"/>
          <w:szCs w:val="32"/>
        </w:rPr>
        <w:t>第</w:t>
      </w:r>
      <w:r>
        <w:rPr>
          <w:rFonts w:hint="eastAsia" w:ascii="仿宋_GB2312" w:hAnsi="仿宋_GB2312" w:eastAsia="仿宋_GB2312" w:cs="仿宋_GB2312"/>
          <w:bCs/>
          <w:color w:val="000000"/>
          <w:kern w:val="0"/>
          <w:sz w:val="32"/>
          <w:szCs w:val="32"/>
          <w:lang w:val="en-US" w:eastAsia="zh-CN"/>
        </w:rPr>
        <w:t>32</w:t>
      </w:r>
      <w:r>
        <w:rPr>
          <w:rFonts w:hint="eastAsia" w:ascii="仿宋_GB2312" w:hAnsi="仿宋_GB2312" w:eastAsia="仿宋_GB2312" w:cs="仿宋_GB2312"/>
          <w:bCs/>
          <w:color w:val="000000"/>
          <w:kern w:val="0"/>
          <w:sz w:val="32"/>
          <w:szCs w:val="32"/>
        </w:rPr>
        <w:t>次院长办公会议</w:t>
      </w:r>
      <w:r>
        <w:rPr>
          <w:rFonts w:hint="eastAsia" w:ascii="仿宋_GB2312" w:hAnsi="仿宋_GB2312" w:eastAsia="仿宋_GB2312" w:cs="仿宋_GB2312"/>
          <w:bCs/>
          <w:color w:val="000000"/>
          <w:kern w:val="0"/>
          <w:sz w:val="32"/>
          <w:szCs w:val="32"/>
          <w:lang w:val="en-US" w:eastAsia="zh-CN"/>
        </w:rPr>
        <w:t>第二次</w:t>
      </w:r>
      <w:r>
        <w:rPr>
          <w:rFonts w:hint="eastAsia" w:ascii="仿宋_GB2312" w:hAnsi="仿宋_GB2312" w:eastAsia="仿宋_GB2312" w:cs="仿宋_GB2312"/>
          <w:bCs/>
          <w:color w:val="000000"/>
          <w:kern w:val="0"/>
          <w:sz w:val="32"/>
          <w:szCs w:val="32"/>
        </w:rPr>
        <w:t>修订</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日发布</w:t>
      </w:r>
      <w:r>
        <w:rPr>
          <w:rFonts w:hint="eastAsia" w:ascii="仿宋_GB2312" w:hAnsi="仿宋_GB2312" w:eastAsia="仿宋_GB2312" w:cs="仿宋_GB2312"/>
          <w:bCs/>
          <w:color w:val="000000"/>
          <w:kern w:val="0"/>
          <w:sz w:val="32"/>
          <w:szCs w:val="32"/>
        </w:rPr>
        <w:t>）</w:t>
      </w:r>
    </w:p>
    <w:p w14:paraId="41784B19">
      <w:pPr>
        <w:keepNext w:val="0"/>
        <w:keepLines w:val="0"/>
        <w:pageBreakBefore w:val="0"/>
        <w:widowControl w:val="0"/>
        <w:kinsoku/>
        <w:wordWrap/>
        <w:overflowPunct/>
        <w:topLinePunct w:val="0"/>
        <w:autoSpaceDE/>
        <w:autoSpaceDN/>
        <w:bidi w:val="0"/>
        <w:adjustRightInd w:val="0"/>
        <w:snapToGrid w:val="0"/>
        <w:spacing w:line="560" w:lineRule="exact"/>
        <w:ind w:left="1321" w:hanging="1321"/>
        <w:jc w:val="center"/>
        <w:textAlignment w:val="auto"/>
        <w:outlineLvl w:val="0"/>
        <w:rPr>
          <w:rFonts w:ascii="黑体" w:hAnsi="黑体" w:eastAsia="黑体"/>
          <w:b w:val="0"/>
          <w:bCs w:val="0"/>
          <w:sz w:val="32"/>
          <w:szCs w:val="32"/>
          <w:highlight w:val="none"/>
        </w:rPr>
      </w:pPr>
      <w:r>
        <w:rPr>
          <w:rFonts w:hint="eastAsia" w:ascii="黑体" w:hAnsi="黑体" w:eastAsia="黑体"/>
          <w:b w:val="0"/>
          <w:bCs w:val="0"/>
          <w:sz w:val="32"/>
          <w:szCs w:val="32"/>
          <w:highlight w:val="none"/>
          <w:lang w:val="en-US" w:eastAsia="zh-CN"/>
        </w:rPr>
        <w:t>一</w:t>
      </w:r>
      <w:r>
        <w:rPr>
          <w:rFonts w:hint="eastAsia" w:ascii="黑体" w:hAnsi="黑体" w:eastAsia="黑体"/>
          <w:b w:val="0"/>
          <w:bCs w:val="0"/>
          <w:sz w:val="32"/>
          <w:szCs w:val="32"/>
          <w:highlight w:val="none"/>
          <w:lang w:eastAsia="zh-CN"/>
        </w:rPr>
        <w:t>、</w:t>
      </w:r>
      <w:r>
        <w:rPr>
          <w:rFonts w:hint="eastAsia" w:ascii="黑体" w:hAnsi="黑体" w:eastAsia="黑体"/>
          <w:b w:val="0"/>
          <w:bCs w:val="0"/>
          <w:sz w:val="32"/>
          <w:szCs w:val="32"/>
          <w:highlight w:val="none"/>
        </w:rPr>
        <w:t>总则</w:t>
      </w:r>
    </w:p>
    <w:p w14:paraId="1A50FAC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第一条</w:t>
      </w:r>
      <w:r>
        <w:rPr>
          <w:rFonts w:hint="eastAsia" w:ascii="仿宋_GB2312" w:hAnsi="仿宋_GB2312" w:eastAsia="仿宋_GB2312" w:cs="仿宋_GB2312"/>
          <w:sz w:val="32"/>
          <w:szCs w:val="32"/>
          <w:highlight w:val="none"/>
        </w:rPr>
        <w:t xml:space="preserve">  为保障学生合法权益，规范</w:t>
      </w:r>
      <w:r>
        <w:rPr>
          <w:rFonts w:hint="eastAsia" w:ascii="仿宋_GB2312" w:hAnsi="仿宋_GB2312" w:eastAsia="仿宋_GB2312" w:cs="仿宋_GB2312"/>
          <w:sz w:val="32"/>
          <w:szCs w:val="32"/>
          <w:highlight w:val="none"/>
          <w:lang w:val="en-US" w:eastAsia="zh-CN"/>
        </w:rPr>
        <w:t>我院</w:t>
      </w:r>
      <w:r>
        <w:rPr>
          <w:rFonts w:hint="eastAsia" w:ascii="仿宋_GB2312" w:hAnsi="仿宋_GB2312" w:eastAsia="仿宋_GB2312" w:cs="仿宋_GB2312"/>
          <w:sz w:val="32"/>
          <w:szCs w:val="32"/>
          <w:highlight w:val="none"/>
        </w:rPr>
        <w:t>学生申诉处理程序，根据《中华人民共和国教育法》《中华人民共和国高等教育法》《普通高等学校学生管理规定》和《北京青年政治学院学生违纪处分规定》，结合学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实际，修订本办法。</w:t>
      </w:r>
    </w:p>
    <w:p w14:paraId="4F121F0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第二条</w:t>
      </w:r>
      <w:r>
        <w:rPr>
          <w:rFonts w:hint="eastAsia" w:ascii="仿宋_GB2312" w:hAnsi="仿宋_GB2312" w:eastAsia="仿宋_GB2312" w:cs="仿宋_GB2312"/>
          <w:sz w:val="32"/>
          <w:szCs w:val="32"/>
          <w:highlight w:val="none"/>
        </w:rPr>
        <w:t xml:space="preserve">  本办法所称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，是指学生对学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作出涉及本人权益的相关处理、处分决定有异议时，提请学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进行复查的行为。</w:t>
      </w:r>
    </w:p>
    <w:p w14:paraId="23FA4F2D">
      <w:pPr>
        <w:keepNext w:val="0"/>
        <w:keepLines w:val="0"/>
        <w:pageBreakBefore w:val="0"/>
        <w:widowControl w:val="0"/>
        <w:kinsoku/>
        <w:wordWrap/>
        <w:overflowPunct/>
        <w:topLinePunct w:val="0"/>
        <w:autoSpaceDE/>
        <w:autoSpaceDN/>
        <w:bidi w:val="0"/>
        <w:adjustRightInd w:val="0"/>
        <w:snapToGrid w:val="0"/>
        <w:spacing w:line="560" w:lineRule="exact"/>
        <w:ind w:left="1321" w:hanging="1321"/>
        <w:jc w:val="center"/>
        <w:textAlignment w:val="auto"/>
        <w:outlineLvl w:val="0"/>
        <w:rPr>
          <w:rFonts w:hint="eastAsia" w:ascii="黑体" w:hAnsi="黑体" w:eastAsia="黑体"/>
          <w:b w:val="0"/>
          <w:bCs w:val="0"/>
          <w:sz w:val="32"/>
          <w:szCs w:val="32"/>
          <w:highlight w:val="none"/>
          <w:lang w:val="en-US" w:eastAsia="zh-CN"/>
        </w:rPr>
      </w:pPr>
      <w:r>
        <w:rPr>
          <w:rFonts w:hint="eastAsia" w:ascii="黑体" w:hAnsi="黑体" w:eastAsia="黑体"/>
          <w:b w:val="0"/>
          <w:bCs w:val="0"/>
          <w:sz w:val="32"/>
          <w:szCs w:val="32"/>
          <w:highlight w:val="none"/>
          <w:lang w:val="en-US" w:eastAsia="zh-CN"/>
        </w:rPr>
        <w:t>二、组织机构</w:t>
      </w:r>
    </w:p>
    <w:p w14:paraId="5844E41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default"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第三条</w:t>
      </w:r>
      <w:r>
        <w:rPr>
          <w:rFonts w:hint="eastAsia" w:ascii="仿宋_GB2312" w:hAnsi="仿宋_GB2312" w:eastAsia="仿宋_GB2312" w:cs="仿宋_GB2312"/>
          <w:b/>
          <w:sz w:val="32"/>
          <w:szCs w:val="32"/>
          <w:highlight w:val="none"/>
          <w:lang w:val="en-US" w:eastAsia="zh-CN"/>
        </w:rPr>
        <w:t xml:space="preserve">  </w:t>
      </w:r>
      <w:r>
        <w:rPr>
          <w:rFonts w:hint="eastAsia" w:ascii="仿宋_GB2312" w:hAnsi="华文仿宋" w:eastAsia="仿宋_GB2312"/>
          <w:sz w:val="32"/>
          <w:szCs w:val="32"/>
          <w:highlight w:val="none"/>
        </w:rPr>
        <w:t>学院</w:t>
      </w:r>
      <w:r>
        <w:rPr>
          <w:rFonts w:hint="eastAsia" w:ascii="仿宋_GB2312" w:hAnsi="华文仿宋" w:eastAsia="仿宋_GB2312"/>
          <w:sz w:val="32"/>
          <w:szCs w:val="32"/>
          <w:highlight w:val="none"/>
          <w:lang w:val="en-US" w:eastAsia="zh-CN"/>
        </w:rPr>
        <w:t>依法</w:t>
      </w:r>
      <w:r>
        <w:rPr>
          <w:rFonts w:hint="eastAsia" w:ascii="仿宋_GB2312" w:hAnsi="华文仿宋" w:eastAsia="仿宋_GB2312"/>
          <w:sz w:val="32"/>
          <w:szCs w:val="32"/>
          <w:highlight w:val="none"/>
        </w:rPr>
        <w:t>成立北京青年政治学院学生申诉处理委员会（以下简称“学生申诉处理委员会”）</w:t>
      </w:r>
      <w:r>
        <w:rPr>
          <w:rFonts w:hint="eastAsia" w:ascii="仿宋_GB2312" w:hAnsi="华文仿宋" w:eastAsia="仿宋_GB2312"/>
          <w:sz w:val="32"/>
          <w:szCs w:val="32"/>
          <w:highlight w:val="none"/>
          <w:lang w:eastAsia="zh-CN"/>
        </w:rPr>
        <w:t>，</w:t>
      </w:r>
      <w:r>
        <w:rPr>
          <w:rFonts w:hint="eastAsia" w:ascii="仿宋_GB2312" w:hAnsi="仿宋_GB2312" w:eastAsia="仿宋_GB2312" w:cs="仿宋_GB2312"/>
          <w:b w:val="0"/>
          <w:bCs/>
          <w:sz w:val="32"/>
          <w:szCs w:val="32"/>
          <w:highlight w:val="none"/>
        </w:rPr>
        <w:t>受理学生对处理或者处分决定不服提起的申诉。</w:t>
      </w:r>
      <w:r>
        <w:rPr>
          <w:rFonts w:hint="eastAsia" w:ascii="仿宋_GB2312" w:hAnsi="华文仿宋" w:eastAsia="仿宋_GB2312"/>
          <w:sz w:val="32"/>
          <w:szCs w:val="32"/>
          <w:highlight w:val="none"/>
        </w:rPr>
        <w:t>学生申诉处理委员会</w:t>
      </w:r>
      <w:r>
        <w:rPr>
          <w:rFonts w:hint="eastAsia" w:ascii="仿宋_GB2312" w:hAnsi="华文仿宋" w:eastAsia="仿宋_GB2312"/>
          <w:sz w:val="32"/>
          <w:szCs w:val="32"/>
          <w:highlight w:val="none"/>
          <w:lang w:val="en-US" w:eastAsia="zh-CN"/>
        </w:rPr>
        <w:t>由学院相关领导、</w:t>
      </w:r>
      <w:r>
        <w:rPr>
          <w:rFonts w:hint="eastAsia" w:ascii="仿宋_GB2312" w:hAnsi="华文仿宋" w:eastAsia="仿宋_GB2312"/>
          <w:sz w:val="32"/>
          <w:szCs w:val="32"/>
          <w:highlight w:val="none"/>
        </w:rPr>
        <w:t>党政办公室、</w:t>
      </w:r>
      <w:r>
        <w:rPr>
          <w:rFonts w:hint="eastAsia" w:ascii="仿宋_GB2312" w:hAnsi="华文仿宋" w:eastAsia="仿宋_GB2312"/>
          <w:sz w:val="32"/>
          <w:szCs w:val="32"/>
          <w:highlight w:val="none"/>
          <w:lang w:val="en-US" w:eastAsia="zh-CN"/>
        </w:rPr>
        <w:t>学生处、安保处、</w:t>
      </w:r>
      <w:r>
        <w:rPr>
          <w:rFonts w:hint="eastAsia" w:ascii="仿宋_GB2312" w:hAnsi="华文仿宋" w:eastAsia="仿宋_GB2312"/>
          <w:sz w:val="32"/>
          <w:szCs w:val="32"/>
          <w:highlight w:val="none"/>
        </w:rPr>
        <w:t>教务处</w:t>
      </w:r>
      <w:r>
        <w:rPr>
          <w:rFonts w:hint="eastAsia" w:ascii="仿宋_GB2312" w:hAnsi="华文仿宋" w:eastAsia="仿宋_GB2312"/>
          <w:sz w:val="32"/>
          <w:szCs w:val="32"/>
          <w:highlight w:val="none"/>
          <w:lang w:val="en-US" w:eastAsia="zh-CN"/>
        </w:rPr>
        <w:t>和团委</w:t>
      </w:r>
      <w:r>
        <w:rPr>
          <w:rFonts w:hint="eastAsia" w:ascii="仿宋_GB2312" w:hAnsi="华文仿宋" w:eastAsia="仿宋_GB2312"/>
          <w:sz w:val="32"/>
          <w:szCs w:val="32"/>
          <w:highlight w:val="none"/>
        </w:rPr>
        <w:t>等部门负责人</w:t>
      </w:r>
      <w:r>
        <w:rPr>
          <w:rFonts w:hint="eastAsia" w:ascii="仿宋_GB2312" w:hAnsi="华文仿宋" w:eastAsia="仿宋_GB2312"/>
          <w:sz w:val="32"/>
          <w:szCs w:val="32"/>
          <w:highlight w:val="none"/>
          <w:lang w:eastAsia="zh-CN"/>
        </w:rPr>
        <w:t>、教师代表、学生代表</w:t>
      </w:r>
      <w:r>
        <w:rPr>
          <w:rFonts w:hint="eastAsia" w:ascii="仿宋_GB2312" w:hAnsi="华文仿宋" w:eastAsia="仿宋_GB2312"/>
          <w:sz w:val="32"/>
          <w:szCs w:val="32"/>
          <w:highlight w:val="none"/>
          <w:lang w:val="en-US" w:eastAsia="zh-CN"/>
        </w:rPr>
        <w:t>及法律顾问</w:t>
      </w:r>
      <w:r>
        <w:rPr>
          <w:rFonts w:hint="eastAsia" w:ascii="仿宋_GB2312" w:hAnsi="华文仿宋" w:eastAsia="仿宋_GB2312"/>
          <w:sz w:val="32"/>
          <w:szCs w:val="32"/>
          <w:highlight w:val="none"/>
          <w:lang w:eastAsia="zh-CN"/>
        </w:rPr>
        <w:t>等</w:t>
      </w:r>
      <w:r>
        <w:rPr>
          <w:rFonts w:hint="eastAsia" w:ascii="仿宋_GB2312" w:hAnsi="华文仿宋" w:eastAsia="仿宋_GB2312"/>
          <w:sz w:val="32"/>
          <w:szCs w:val="32"/>
          <w:highlight w:val="none"/>
          <w:lang w:val="en-US" w:eastAsia="zh-CN"/>
        </w:rPr>
        <w:t>人员组成</w:t>
      </w:r>
      <w:r>
        <w:rPr>
          <w:rFonts w:hint="eastAsia" w:ascii="仿宋_GB2312" w:hAnsi="华文仿宋" w:eastAsia="仿宋_GB2312"/>
          <w:sz w:val="32"/>
          <w:szCs w:val="32"/>
          <w:highlight w:val="none"/>
          <w:lang w:eastAsia="zh-CN"/>
        </w:rPr>
        <w:t>。</w:t>
      </w:r>
      <w:r>
        <w:rPr>
          <w:rFonts w:hint="eastAsia" w:ascii="仿宋_GB2312" w:hAnsi="华文仿宋" w:eastAsia="仿宋_GB2312"/>
          <w:sz w:val="32"/>
          <w:szCs w:val="32"/>
          <w:highlight w:val="none"/>
          <w:lang w:val="en-US" w:eastAsia="zh-CN"/>
        </w:rPr>
        <w:t>其中</w:t>
      </w:r>
      <w:r>
        <w:rPr>
          <w:rFonts w:hint="eastAsia" w:ascii="仿宋_GB2312" w:hAnsi="华文仿宋" w:eastAsia="仿宋_GB2312"/>
          <w:sz w:val="32"/>
          <w:szCs w:val="32"/>
          <w:highlight w:val="none"/>
          <w:lang w:eastAsia="zh-CN"/>
        </w:rPr>
        <w:t>教师代表和学生代表各两名，教师代表可视申诉事项性质由具有法学、社会学、心理学或者教育学专业背景的教师组成，学生代表由</w:t>
      </w:r>
      <w:r>
        <w:rPr>
          <w:rFonts w:hint="eastAsia" w:ascii="仿宋_GB2312" w:hAnsi="华文仿宋" w:eastAsia="仿宋_GB2312"/>
          <w:sz w:val="32"/>
          <w:szCs w:val="32"/>
          <w:highlight w:val="none"/>
          <w:lang w:val="en-US" w:eastAsia="zh-CN"/>
        </w:rPr>
        <w:t>团委</w:t>
      </w:r>
      <w:r>
        <w:rPr>
          <w:rFonts w:hint="eastAsia" w:ascii="仿宋_GB2312" w:hAnsi="华文仿宋" w:eastAsia="仿宋_GB2312"/>
          <w:sz w:val="32"/>
          <w:szCs w:val="32"/>
          <w:highlight w:val="none"/>
          <w:lang w:eastAsia="zh-CN"/>
        </w:rPr>
        <w:t>推荐。</w:t>
      </w:r>
      <w:r>
        <w:rPr>
          <w:rFonts w:hint="eastAsia" w:ascii="仿宋_GB2312" w:hAnsi="华文仿宋" w:eastAsia="仿宋_GB2312"/>
          <w:sz w:val="32"/>
          <w:szCs w:val="32"/>
          <w:highlight w:val="none"/>
        </w:rPr>
        <w:t>学生申诉处理委员会办公室设在</w:t>
      </w:r>
      <w:r>
        <w:rPr>
          <w:rFonts w:hint="eastAsia" w:ascii="仿宋_GB2312" w:hAnsi="华文仿宋" w:eastAsia="仿宋_GB2312"/>
          <w:sz w:val="32"/>
          <w:szCs w:val="32"/>
          <w:highlight w:val="none"/>
          <w:lang w:val="en-US" w:eastAsia="zh-CN"/>
        </w:rPr>
        <w:t>党政办公室，</w:t>
      </w:r>
      <w:r>
        <w:rPr>
          <w:rFonts w:hint="eastAsia" w:ascii="仿宋_GB2312" w:hAnsi="仿宋_GB2312" w:eastAsia="仿宋_GB2312" w:cs="仿宋_GB2312"/>
          <w:sz w:val="32"/>
          <w:szCs w:val="32"/>
          <w:highlight w:val="none"/>
        </w:rPr>
        <w:t>负责受理、审查申诉书，通知当事人参加听证，辅助委员会的复查工作，送达复查决定书，档案管理等日常事务。</w:t>
      </w:r>
    </w:p>
    <w:p w14:paraId="2E5FAC0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第四条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学生申诉处理委员会委员有下列情形之一的，应当自行回避，申诉学生和学生申诉处理委员会也有权要求其回避：</w:t>
      </w:r>
    </w:p>
    <w:p w14:paraId="40E433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（一）是申诉学生近亲属的；</w:t>
      </w:r>
    </w:p>
    <w:p w14:paraId="251CBC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（二）与本项申诉有利害关系的；</w:t>
      </w:r>
    </w:p>
    <w:p w14:paraId="353B03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三）参与做出对申诉人原处理或处分决定的；</w:t>
      </w:r>
    </w:p>
    <w:p w14:paraId="6A8A0E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）与申诉学生、被申诉机关的负责人有其他关系，可能影响申诉公正处理的；</w:t>
      </w:r>
    </w:p>
    <w:p w14:paraId="24BB9B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）当事人提出其他正当回避理由的。</w:t>
      </w:r>
    </w:p>
    <w:p w14:paraId="2E8E2F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回避决定应当在提出回避申请之日起３日内由学生申诉处理委员会作出。回避决定作出后，应及时通知提出回避的申请人。在作出是否回避的决定之前，被申请回避的人员应暂停参与本案的处理工作。</w:t>
      </w:r>
    </w:p>
    <w:p w14:paraId="0D6C03F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第五条</w:t>
      </w:r>
      <w:r>
        <w:rPr>
          <w:rFonts w:hint="eastAsia" w:ascii="仿宋_GB2312" w:hAnsi="仿宋_GB2312" w:eastAsia="仿宋_GB2312" w:cs="仿宋_GB2312"/>
          <w:sz w:val="32"/>
          <w:szCs w:val="32"/>
          <w:highlight w:val="none"/>
          <w:lang w:val="en-US" w:eastAsia="zh-CN"/>
        </w:rPr>
        <w:t xml:space="preserve">  申诉处理委员会应依法维护学校和学生的正当权益，依照本办法具体办理学生申诉复查事项，履行下列职责：</w:t>
      </w:r>
    </w:p>
    <w:p w14:paraId="48685B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受理本规定涉及的学生申诉</w:t>
      </w:r>
      <w:r>
        <w:rPr>
          <w:rFonts w:hint="eastAsia" w:ascii="仿宋_GB2312" w:hAnsi="仿宋_GB2312" w:eastAsia="仿宋_GB2312" w:cs="仿宋_GB2312"/>
          <w:sz w:val="32"/>
          <w:szCs w:val="32"/>
          <w:highlight w:val="none"/>
          <w:lang w:val="en-US" w:eastAsia="zh-CN"/>
        </w:rPr>
        <w:t>；</w:t>
      </w:r>
    </w:p>
    <w:p w14:paraId="1ADE16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向有关单位</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部门</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和人员调查取证，查阅文件和材料</w:t>
      </w:r>
      <w:r>
        <w:rPr>
          <w:rFonts w:hint="eastAsia" w:ascii="仿宋_GB2312" w:hAnsi="仿宋_GB2312" w:eastAsia="仿宋_GB2312" w:cs="仿宋_GB2312"/>
          <w:sz w:val="32"/>
          <w:szCs w:val="32"/>
          <w:highlight w:val="none"/>
          <w:lang w:val="en-US" w:eastAsia="zh-CN"/>
        </w:rPr>
        <w:t>；</w:t>
      </w:r>
    </w:p>
    <w:p w14:paraId="196A2A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对申诉进行复查处理，并做出申诉复查决定</w:t>
      </w:r>
      <w:r>
        <w:rPr>
          <w:rFonts w:hint="eastAsia" w:ascii="仿宋_GB2312" w:hAnsi="仿宋_GB2312" w:eastAsia="仿宋_GB2312" w:cs="仿宋_GB2312"/>
          <w:sz w:val="32"/>
          <w:szCs w:val="32"/>
          <w:highlight w:val="none"/>
          <w:lang w:val="en-US" w:eastAsia="zh-CN"/>
        </w:rPr>
        <w:t>；</w:t>
      </w:r>
    </w:p>
    <w:p w14:paraId="1396E0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对</w:t>
      </w:r>
      <w:r>
        <w:rPr>
          <w:rFonts w:hint="eastAsia" w:ascii="仿宋_GB2312" w:hAnsi="仿宋_GB2312" w:eastAsia="仿宋_GB2312" w:cs="仿宋_GB2312"/>
          <w:sz w:val="32"/>
          <w:szCs w:val="32"/>
          <w:highlight w:val="none"/>
          <w:lang w:val="en-US" w:eastAsia="zh-CN"/>
        </w:rPr>
        <w:t>学院</w:t>
      </w:r>
      <w:r>
        <w:rPr>
          <w:rFonts w:hint="default" w:ascii="仿宋_GB2312" w:hAnsi="仿宋_GB2312" w:eastAsia="仿宋_GB2312" w:cs="仿宋_GB2312"/>
          <w:sz w:val="32"/>
          <w:szCs w:val="32"/>
          <w:highlight w:val="none"/>
          <w:lang w:val="en-US" w:eastAsia="zh-CN"/>
        </w:rPr>
        <w:t>相关部门违反本规定的行为，依照规定的权限和程序提出整改建议</w:t>
      </w:r>
      <w:r>
        <w:rPr>
          <w:rFonts w:hint="eastAsia" w:ascii="仿宋_GB2312" w:hAnsi="仿宋_GB2312" w:eastAsia="仿宋_GB2312" w:cs="仿宋_GB2312"/>
          <w:sz w:val="32"/>
          <w:szCs w:val="32"/>
          <w:highlight w:val="none"/>
          <w:lang w:val="en-US" w:eastAsia="zh-CN"/>
        </w:rPr>
        <w:t>；</w:t>
      </w:r>
    </w:p>
    <w:p w14:paraId="14B3F7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val="en-US" w:eastAsia="zh-CN"/>
        </w:rPr>
        <w:t>）学院</w:t>
      </w:r>
      <w:r>
        <w:rPr>
          <w:rFonts w:hint="default" w:ascii="仿宋_GB2312" w:hAnsi="仿宋_GB2312" w:eastAsia="仿宋_GB2312" w:cs="仿宋_GB2312"/>
          <w:sz w:val="32"/>
          <w:szCs w:val="32"/>
          <w:highlight w:val="none"/>
          <w:lang w:val="en-US" w:eastAsia="zh-CN"/>
        </w:rPr>
        <w:t>规定的其他职责</w:t>
      </w:r>
      <w:r>
        <w:rPr>
          <w:rFonts w:hint="eastAsia" w:ascii="仿宋_GB2312" w:hAnsi="仿宋_GB2312" w:eastAsia="仿宋_GB2312" w:cs="仿宋_GB2312"/>
          <w:sz w:val="32"/>
          <w:szCs w:val="32"/>
          <w:highlight w:val="none"/>
          <w:lang w:val="en-US" w:eastAsia="zh-CN"/>
        </w:rPr>
        <w:t>。</w:t>
      </w:r>
    </w:p>
    <w:p w14:paraId="691B550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第六条</w:t>
      </w:r>
      <w:r>
        <w:rPr>
          <w:rFonts w:hint="eastAsia" w:ascii="仿宋_GB2312" w:hAnsi="仿宋_GB2312" w:eastAsia="仿宋_GB2312" w:cs="仿宋_GB2312"/>
          <w:sz w:val="32"/>
          <w:szCs w:val="32"/>
          <w:highlight w:val="none"/>
        </w:rPr>
        <w:t xml:space="preserve">  学生申诉处理委员会委员应当坚持原则，秉公办事，遵守工作纪律，保守工作秘密。</w:t>
      </w:r>
    </w:p>
    <w:p w14:paraId="68689C9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第七条</w:t>
      </w:r>
      <w:r>
        <w:rPr>
          <w:rFonts w:hint="eastAsia" w:ascii="仿宋_GB2312" w:hAnsi="仿宋_GB2312" w:eastAsia="仿宋_GB2312" w:cs="仿宋_GB2312"/>
          <w:sz w:val="32"/>
          <w:szCs w:val="32"/>
          <w:highlight w:val="none"/>
        </w:rPr>
        <w:t xml:space="preserve">  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各部门有责任对学生申诉处理委员会的调查处理工作予以协助和配合。</w:t>
      </w:r>
    </w:p>
    <w:p w14:paraId="1E74AA50">
      <w:pPr>
        <w:keepNext w:val="0"/>
        <w:keepLines w:val="0"/>
        <w:pageBreakBefore w:val="0"/>
        <w:widowControl w:val="0"/>
        <w:kinsoku/>
        <w:wordWrap/>
        <w:overflowPunct/>
        <w:topLinePunct w:val="0"/>
        <w:autoSpaceDE/>
        <w:autoSpaceDN/>
        <w:bidi w:val="0"/>
        <w:adjustRightInd w:val="0"/>
        <w:snapToGrid w:val="0"/>
        <w:spacing w:line="560" w:lineRule="exact"/>
        <w:ind w:left="1321" w:hanging="1321"/>
        <w:jc w:val="center"/>
        <w:textAlignment w:val="auto"/>
        <w:outlineLvl w:val="0"/>
        <w:rPr>
          <w:rFonts w:hint="eastAsia" w:ascii="黑体" w:hAnsi="黑体" w:eastAsia="黑体"/>
          <w:b w:val="0"/>
          <w:bCs w:val="0"/>
          <w:sz w:val="32"/>
          <w:szCs w:val="32"/>
          <w:highlight w:val="none"/>
          <w:lang w:val="en-US" w:eastAsia="zh-CN"/>
        </w:rPr>
      </w:pPr>
      <w:r>
        <w:rPr>
          <w:rFonts w:hint="eastAsia" w:ascii="黑体" w:hAnsi="黑体" w:eastAsia="黑体"/>
          <w:b w:val="0"/>
          <w:bCs w:val="0"/>
          <w:sz w:val="32"/>
          <w:szCs w:val="32"/>
          <w:highlight w:val="none"/>
          <w:lang w:val="en-US" w:eastAsia="zh-CN"/>
        </w:rPr>
        <w:t>三、申诉的受理</w:t>
      </w:r>
    </w:p>
    <w:p w14:paraId="3518058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第八条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学生如对学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的处理或者处分决定有异议的，可以在接到学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处理或者处分决定书之日起10日内，向学生申诉处理委员会办公室提出书面申诉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逾期不予受理</w:t>
      </w:r>
      <w:r>
        <w:rPr>
          <w:rFonts w:hint="eastAsia" w:ascii="仿宋_GB2312" w:hAnsi="仿宋_GB2312" w:eastAsia="仿宋_GB2312" w:cs="仿宋_GB2312"/>
          <w:sz w:val="32"/>
          <w:szCs w:val="32"/>
          <w:highlight w:val="none"/>
        </w:rPr>
        <w:t>。</w:t>
      </w:r>
    </w:p>
    <w:p w14:paraId="58F6CCE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第九条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学生申诉时，应当递交申诉书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附件1）</w:t>
      </w:r>
      <w:r>
        <w:rPr>
          <w:rFonts w:hint="eastAsia" w:ascii="仿宋_GB2312" w:hAnsi="仿宋_GB2312" w:eastAsia="仿宋_GB2312" w:cs="仿宋_GB2312"/>
          <w:sz w:val="32"/>
          <w:szCs w:val="32"/>
          <w:highlight w:val="none"/>
        </w:rPr>
        <w:t>。申诉书要求字迹工整、不得涂改，并由申诉学生亲笔签名。申诉书应载明下列内容：</w:t>
      </w:r>
    </w:p>
    <w:p w14:paraId="0362DE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（一）申诉学生的姓名、性别、年龄、所在二级学院、班级、学号、有效联系方式、通讯地址等基本情况；</w:t>
      </w:r>
    </w:p>
    <w:p w14:paraId="5B0A4F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（二）申诉请求；</w:t>
      </w:r>
    </w:p>
    <w:p w14:paraId="58FD38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（三）申诉事实、证据和理由；</w:t>
      </w:r>
    </w:p>
    <w:p w14:paraId="619773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（四）申诉学生签名及申诉日期。</w:t>
      </w:r>
    </w:p>
    <w:p w14:paraId="675088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申诉学生应同时向学生申诉处理委员会提交学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作出的相关处理或者处分决定书的复印件以及相关的证据。</w:t>
      </w:r>
    </w:p>
    <w:p w14:paraId="6D7D8DA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学生申诉处理委员会办公室负责接收学生的申诉材料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并从以下几方面对申诉材料进行审查：</w:t>
      </w:r>
    </w:p>
    <w:p w14:paraId="43DD97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（一）申请人是否具有申诉资格；</w:t>
      </w:r>
    </w:p>
    <w:p w14:paraId="5AEC64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（二）申诉事项是否属于学生申诉范围；</w:t>
      </w:r>
    </w:p>
    <w:p w14:paraId="724B03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（三）申诉时间是否符合申诉期限规定；</w:t>
      </w:r>
    </w:p>
    <w:p w14:paraId="5799C6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（四）是否有其他不符合申诉条件的情形。</w:t>
      </w:r>
    </w:p>
    <w:p w14:paraId="0FADD4C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sz w:val="32"/>
          <w:szCs w:val="32"/>
          <w:highlight w:val="none"/>
          <w:lang w:val="en-US" w:eastAsia="zh-CN"/>
        </w:rPr>
        <w:t>第十一条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学生申诉处理委员会办公室在接到申诉材料后，应根据不同情况作出以下处理：</w:t>
      </w:r>
    </w:p>
    <w:p w14:paraId="4440DF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符合受理条件的，应当决定受理</w:t>
      </w:r>
      <w:r>
        <w:rPr>
          <w:rFonts w:hint="eastAsia" w:ascii="仿宋_GB2312" w:hAnsi="仿宋_GB2312" w:eastAsia="仿宋_GB2312" w:cs="仿宋_GB2312"/>
          <w:sz w:val="32"/>
          <w:szCs w:val="32"/>
          <w:highlight w:val="none"/>
          <w:lang w:eastAsia="zh-CN"/>
        </w:rPr>
        <w:t>；</w:t>
      </w:r>
    </w:p>
    <w:p w14:paraId="50D733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申诉材料不齐备或申诉内容不明确的，书面通知申诉人3日内补正。逾期不补正的，视为撤回申诉。</w:t>
      </w:r>
    </w:p>
    <w:p w14:paraId="2E1E52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不符合受理条件的，应当决定不予受理，并书面说明理由。</w:t>
      </w:r>
    </w:p>
    <w:p w14:paraId="16F63B7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第十二条</w:t>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sz w:val="32"/>
          <w:szCs w:val="32"/>
          <w:highlight w:val="none"/>
        </w:rPr>
        <w:t xml:space="preserve"> 复查决定作出前，申诉人要求撤回申诉的，经书面申请，可以撤回。申诉学生撤回申诉的，申诉处理程序终止。</w:t>
      </w:r>
    </w:p>
    <w:p w14:paraId="6E4477C0">
      <w:pPr>
        <w:keepNext w:val="0"/>
        <w:keepLines w:val="0"/>
        <w:pageBreakBefore w:val="0"/>
        <w:widowControl w:val="0"/>
        <w:kinsoku/>
        <w:wordWrap/>
        <w:overflowPunct/>
        <w:topLinePunct w:val="0"/>
        <w:autoSpaceDE/>
        <w:autoSpaceDN/>
        <w:bidi w:val="0"/>
        <w:adjustRightInd w:val="0"/>
        <w:snapToGrid w:val="0"/>
        <w:spacing w:line="560" w:lineRule="exact"/>
        <w:ind w:left="1321" w:hanging="1321"/>
        <w:jc w:val="center"/>
        <w:textAlignment w:val="auto"/>
        <w:outlineLvl w:val="0"/>
        <w:rPr>
          <w:rFonts w:hint="eastAsia" w:ascii="黑体" w:hAnsi="黑体" w:eastAsia="黑体"/>
          <w:b w:val="0"/>
          <w:bCs w:val="0"/>
          <w:sz w:val="32"/>
          <w:szCs w:val="32"/>
          <w:highlight w:val="none"/>
          <w:lang w:val="en-US" w:eastAsia="zh-CN"/>
        </w:rPr>
      </w:pPr>
      <w:r>
        <w:rPr>
          <w:rFonts w:hint="eastAsia" w:ascii="黑体" w:hAnsi="黑体" w:eastAsia="黑体"/>
          <w:b w:val="0"/>
          <w:bCs w:val="0"/>
          <w:sz w:val="32"/>
          <w:szCs w:val="32"/>
          <w:highlight w:val="none"/>
          <w:lang w:val="en-US" w:eastAsia="zh-CN"/>
        </w:rPr>
        <w:t>四、申诉的处理</w:t>
      </w:r>
    </w:p>
    <w:p w14:paraId="6FFF011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第十三条</w:t>
      </w:r>
      <w:r>
        <w:rPr>
          <w:rFonts w:hint="eastAsia" w:ascii="仿宋_GB2312" w:hAnsi="仿宋_GB2312" w:eastAsia="仿宋_GB2312" w:cs="仿宋_GB2312"/>
          <w:sz w:val="32"/>
          <w:szCs w:val="32"/>
          <w:highlight w:val="none"/>
        </w:rPr>
        <w:t xml:space="preserve">  对决定受理的申诉，学生申诉处理委员会应将申诉书副本送达有关部门，并告知其应当在收到申诉书副本</w:t>
      </w:r>
      <w:r>
        <w:rPr>
          <w:rFonts w:hint="eastAsia" w:ascii="仿宋_GB2312" w:hAnsi="仿宋_GB2312" w:eastAsia="仿宋_GB2312" w:cs="仿宋_GB2312"/>
          <w:sz w:val="32"/>
          <w:szCs w:val="32"/>
          <w:highlight w:val="none"/>
          <w:lang w:val="en-US" w:eastAsia="zh-CN"/>
        </w:rPr>
        <w:t>后</w:t>
      </w:r>
      <w:r>
        <w:rPr>
          <w:rFonts w:hint="eastAsia" w:ascii="仿宋_GB2312" w:hAnsi="仿宋_GB2312" w:eastAsia="仿宋_GB2312" w:cs="仿宋_GB2312"/>
          <w:sz w:val="32"/>
          <w:szCs w:val="32"/>
          <w:highlight w:val="none"/>
        </w:rPr>
        <w:t>向学生申诉处理委员会提交包括原处理的依据和其他相关材料的书面回复。</w:t>
      </w:r>
    </w:p>
    <w:p w14:paraId="573E22B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第十四条</w:t>
      </w:r>
      <w:r>
        <w:rPr>
          <w:rFonts w:hint="eastAsia" w:ascii="仿宋_GB2312" w:hAnsi="仿宋_GB2312" w:eastAsia="仿宋_GB2312" w:cs="仿宋_GB2312"/>
          <w:sz w:val="32"/>
          <w:szCs w:val="32"/>
          <w:highlight w:val="none"/>
        </w:rPr>
        <w:t xml:space="preserve">  学生申诉处理委员会的工作程序和方式：</w:t>
      </w:r>
    </w:p>
    <w:p w14:paraId="314A78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（一）调阅、复审学生原处理或者处分形成的全部材料；</w:t>
      </w:r>
    </w:p>
    <w:p w14:paraId="1FC982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（二）听取申诉学生的有关申诉；</w:t>
      </w:r>
    </w:p>
    <w:p w14:paraId="02336F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（三）听取涉及学生处理处分事宜的相关部门责任人、经办人及其他相关人员的说明；</w:t>
      </w:r>
    </w:p>
    <w:p w14:paraId="03A34B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（四）对认为不清楚的事实和证据，</w:t>
      </w:r>
      <w:r>
        <w:rPr>
          <w:rFonts w:hint="eastAsia" w:ascii="仿宋_GB2312" w:hAnsi="仿宋_GB2312" w:eastAsia="仿宋_GB2312" w:cs="仿宋_GB2312"/>
          <w:sz w:val="32"/>
          <w:szCs w:val="32"/>
          <w:highlight w:val="none"/>
          <w:lang w:val="en-US" w:eastAsia="zh-CN"/>
        </w:rPr>
        <w:t>做</w:t>
      </w:r>
      <w:r>
        <w:rPr>
          <w:rFonts w:hint="eastAsia" w:ascii="仿宋_GB2312" w:hAnsi="仿宋_GB2312" w:eastAsia="仿宋_GB2312" w:cs="仿宋_GB2312"/>
          <w:sz w:val="32"/>
          <w:szCs w:val="32"/>
          <w:highlight w:val="none"/>
        </w:rPr>
        <w:t>进一步调查；</w:t>
      </w:r>
    </w:p>
    <w:p w14:paraId="1514C8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（五）对申诉提出的新线索、新情况，予以核实查证；</w:t>
      </w:r>
    </w:p>
    <w:p w14:paraId="5AF9FC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）召开学生申诉处理委员会会议，讨论并作出复查决定或提出其他处理意见。</w:t>
      </w:r>
    </w:p>
    <w:p w14:paraId="0B44D6B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学生申诉处理委员会应当对原处理或者处分是否合法进行审查。审查主要包括：</w:t>
      </w:r>
    </w:p>
    <w:p w14:paraId="64634A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（一）证据是否充分；</w:t>
      </w:r>
    </w:p>
    <w:p w14:paraId="1D7AA0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（二）依据是否明确；</w:t>
      </w:r>
    </w:p>
    <w:p w14:paraId="715618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（三）定性是否准确；</w:t>
      </w:r>
    </w:p>
    <w:p w14:paraId="6FE21E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（四）程序是否正当；</w:t>
      </w:r>
    </w:p>
    <w:p w14:paraId="205BAC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（五）处理或者处分是否适当；</w:t>
      </w:r>
    </w:p>
    <w:p w14:paraId="47882C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（六）其他需要查清的问题。</w:t>
      </w:r>
    </w:p>
    <w:p w14:paraId="296B62C8">
      <w:pPr>
        <w:pStyle w:val="8"/>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第十六条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会议应有不少于三分之二的委员（其中学生代表不得少于2名）出席方可举行。学生申诉处理委员会就有关事项以无记名方式进行投票表决，实行少数服从多数原则，赞成人数超过应到会人数的二分之一，方为有效。</w:t>
      </w:r>
    </w:p>
    <w:p w14:paraId="3432E2CB">
      <w:pPr>
        <w:pStyle w:val="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申诉学生所在二级学院可以派一名代表列席会议，参与讨论。列席人员不具有表决权。</w:t>
      </w:r>
    </w:p>
    <w:p w14:paraId="4ED3DEA7">
      <w:pPr>
        <w:pStyle w:val="8"/>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第十七条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学生申诉处理委员会应当在接到学生书面申诉之日起15日内作出复查结论。情况复杂不能在规定限期内作出结论的，经学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负责人批准，可延长15日。</w:t>
      </w:r>
    </w:p>
    <w:p w14:paraId="6CF46179">
      <w:pPr>
        <w:pStyle w:val="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在学生申诉期间，原处理或处分决定不停止执行；学生申诉处理委员会认为必要的，可以建议学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暂缓执行有关决定。</w:t>
      </w:r>
    </w:p>
    <w:p w14:paraId="103D9539">
      <w:pPr>
        <w:pStyle w:val="8"/>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第十八条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学生申诉处理委员会根据复查情况，分别作出复查结论如下：</w:t>
      </w:r>
    </w:p>
    <w:p w14:paraId="4773F4B7">
      <w:pPr>
        <w:pStyle w:val="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（一）同意原处理或处分决定；</w:t>
      </w:r>
    </w:p>
    <w:p w14:paraId="3F21C391">
      <w:pPr>
        <w:pStyle w:val="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（二）经复查，认为作出处理或处分的事实、依据、程序等存在不当，作出建议撤销或变更的复查意见，要求相关职能部门予以研究，重新提交学院</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长办公会或者专门会议作出决定。</w:t>
      </w:r>
    </w:p>
    <w:p w14:paraId="63774CA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第十九条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学生申诉处理委员会复查结束后，应当制作复查决定书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附件2）</w:t>
      </w:r>
      <w:r>
        <w:rPr>
          <w:rFonts w:hint="eastAsia" w:ascii="仿宋_GB2312" w:hAnsi="仿宋_GB2312" w:eastAsia="仿宋_GB2312" w:cs="仿宋_GB2312"/>
          <w:sz w:val="32"/>
          <w:szCs w:val="32"/>
          <w:highlight w:val="none"/>
        </w:rPr>
        <w:t>。复查决定书应当载明以下内容：</w:t>
      </w:r>
    </w:p>
    <w:p w14:paraId="5A80AA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（一）申诉学生的基本情况；</w:t>
      </w:r>
    </w:p>
    <w:p w14:paraId="104E7D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（二）原处理决定的名称，原处理决定认定的事实、依据及程序；</w:t>
      </w:r>
    </w:p>
    <w:p w14:paraId="4997D8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（三）学生申诉的事项、理由及要求；</w:t>
      </w:r>
    </w:p>
    <w:p w14:paraId="394CDF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（四）学生申诉处理委员会认定的事实、依据及程序；</w:t>
      </w:r>
    </w:p>
    <w:p w14:paraId="60B198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（五）复查决定；</w:t>
      </w:r>
    </w:p>
    <w:p w14:paraId="62DEAD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（六）复查决定的日期；</w:t>
      </w:r>
    </w:p>
    <w:p w14:paraId="344937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（七）申诉学生不服复查决定时向北京市教育委员会申诉的途径和期限。</w:t>
      </w:r>
    </w:p>
    <w:p w14:paraId="483DD39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第二十条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学生申诉处理委员会应当送达申诉人和原处理部门，并抄送相关部门。送达应当直接送达。申诉学生拒绝签收的，可以以留置方式送达；已离校的，可以采取邮寄方式送达；难于联系的，可以利用学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网站、新闻媒体等以公告方式送达。</w:t>
      </w:r>
    </w:p>
    <w:p w14:paraId="16DD82D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第二十一条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学生对复查决定有异议的，在接到学</w:t>
      </w:r>
      <w:r>
        <w:rPr>
          <w:rFonts w:hint="eastAsia" w:ascii="仿宋_GB2312" w:hAnsi="仿宋" w:eastAsia="仿宋_GB2312"/>
          <w:sz w:val="32"/>
          <w:szCs w:val="32"/>
          <w:highlight w:val="none"/>
        </w:rPr>
        <w:t>院</w:t>
      </w:r>
      <w:r>
        <w:rPr>
          <w:rFonts w:hint="eastAsia" w:ascii="仿宋_GB2312" w:hAnsi="仿宋_GB2312" w:eastAsia="仿宋_GB2312" w:cs="仿宋_GB2312"/>
          <w:sz w:val="32"/>
          <w:szCs w:val="32"/>
          <w:highlight w:val="none"/>
        </w:rPr>
        <w:t>复查决定书之日起15日内，可以向北京市教育委员会提出书面申诉。</w:t>
      </w:r>
    </w:p>
    <w:p w14:paraId="2284EC34">
      <w:pPr>
        <w:keepNext w:val="0"/>
        <w:keepLines w:val="0"/>
        <w:pageBreakBefore w:val="0"/>
        <w:widowControl w:val="0"/>
        <w:kinsoku/>
        <w:wordWrap/>
        <w:overflowPunct/>
        <w:topLinePunct w:val="0"/>
        <w:autoSpaceDE/>
        <w:autoSpaceDN/>
        <w:bidi w:val="0"/>
        <w:adjustRightInd w:val="0"/>
        <w:snapToGrid w:val="0"/>
        <w:spacing w:line="560" w:lineRule="exact"/>
        <w:ind w:left="1321" w:hanging="1321"/>
        <w:jc w:val="center"/>
        <w:textAlignment w:val="auto"/>
        <w:outlineLvl w:val="0"/>
        <w:rPr>
          <w:rFonts w:hint="eastAsia" w:ascii="黑体" w:hAnsi="黑体" w:eastAsia="黑体"/>
          <w:b w:val="0"/>
          <w:bCs w:val="0"/>
          <w:sz w:val="32"/>
          <w:szCs w:val="32"/>
          <w:highlight w:val="none"/>
          <w:lang w:val="en-US" w:eastAsia="zh-CN"/>
        </w:rPr>
      </w:pPr>
      <w:r>
        <w:rPr>
          <w:rFonts w:hint="eastAsia" w:ascii="黑体" w:hAnsi="黑体" w:eastAsia="黑体"/>
          <w:b w:val="0"/>
          <w:bCs w:val="0"/>
          <w:sz w:val="32"/>
          <w:szCs w:val="32"/>
          <w:highlight w:val="none"/>
          <w:lang w:val="en-US" w:eastAsia="zh-CN"/>
        </w:rPr>
        <w:t>五、附则</w:t>
      </w:r>
    </w:p>
    <w:p w14:paraId="2CFB51A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 xml:space="preserve">第二十二条  </w:t>
      </w:r>
      <w:r>
        <w:rPr>
          <w:rFonts w:hint="eastAsia" w:ascii="仿宋_GB2312" w:hAnsi="仿宋_GB2312" w:eastAsia="仿宋_GB2312" w:cs="仿宋_GB2312"/>
          <w:sz w:val="32"/>
          <w:szCs w:val="32"/>
          <w:highlight w:val="none"/>
        </w:rPr>
        <w:t>本办法由</w:t>
      </w:r>
      <w:r>
        <w:rPr>
          <w:rFonts w:hint="eastAsia" w:ascii="仿宋_GB2312" w:hAnsi="仿宋_GB2312" w:eastAsia="仿宋_GB2312" w:cs="仿宋_GB2312"/>
          <w:strike w:val="0"/>
          <w:dstrike w:val="0"/>
          <w:sz w:val="32"/>
          <w:szCs w:val="32"/>
          <w:highlight w:val="none"/>
          <w:lang w:val="en-US" w:eastAsia="zh-CN"/>
        </w:rPr>
        <w:t>党政办公室</w:t>
      </w:r>
      <w:r>
        <w:rPr>
          <w:rFonts w:hint="eastAsia" w:ascii="仿宋_GB2312" w:hAnsi="仿宋_GB2312" w:eastAsia="仿宋_GB2312" w:cs="仿宋_GB2312"/>
          <w:sz w:val="32"/>
          <w:szCs w:val="32"/>
          <w:highlight w:val="none"/>
        </w:rPr>
        <w:t>负责解释。</w:t>
      </w:r>
    </w:p>
    <w:p w14:paraId="6DE79F2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第二十三条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本办法自</w:t>
      </w:r>
      <w:r>
        <w:rPr>
          <w:rFonts w:hint="eastAsia" w:ascii="仿宋_GB2312" w:hAnsi="仿宋_GB2312" w:eastAsia="仿宋_GB2312" w:cs="仿宋_GB2312"/>
          <w:sz w:val="32"/>
          <w:szCs w:val="32"/>
          <w:highlight w:val="none"/>
          <w:lang w:val="en-US" w:eastAsia="zh-CN"/>
        </w:rPr>
        <w:t>发布之日</w:t>
      </w:r>
      <w:r>
        <w:rPr>
          <w:rFonts w:hint="eastAsia" w:ascii="仿宋_GB2312" w:hAnsi="仿宋_GB2312" w:eastAsia="仿宋_GB2312" w:cs="仿宋_GB2312"/>
          <w:sz w:val="32"/>
          <w:szCs w:val="32"/>
          <w:highlight w:val="none"/>
        </w:rPr>
        <w:t>起施行。原《北京青年政治学院学生申诉处理办法》（院发〔201</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号）同时废止。</w:t>
      </w:r>
    </w:p>
    <w:p w14:paraId="42754F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p>
    <w:p w14:paraId="76C2FA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附件：1.北京青年政治学院学生申诉申请书</w:t>
      </w:r>
    </w:p>
    <w:p w14:paraId="327386FB">
      <w:pPr>
        <w:keepNext w:val="0"/>
        <w:keepLines w:val="0"/>
        <w:pageBreakBefore w:val="0"/>
        <w:widowControl w:val="0"/>
        <w:kinsoku/>
        <w:wordWrap/>
        <w:overflowPunct/>
        <w:topLinePunct w:val="0"/>
        <w:autoSpaceDE/>
        <w:autoSpaceDN/>
        <w:bidi w:val="0"/>
        <w:adjustRightInd w:val="0"/>
        <w:snapToGrid w:val="0"/>
        <w:spacing w:line="560" w:lineRule="exact"/>
        <w:ind w:left="945" w:leftChars="45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2.北京青年政治学院申诉复查决定书</w:t>
      </w:r>
    </w:p>
    <w:p w14:paraId="1F2534A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outlineLvl w:val="9"/>
        <w:rPr>
          <w:rFonts w:hint="eastAsia" w:ascii="仿宋_GB2312" w:hAnsi="仿宋_GB2312" w:eastAsia="仿宋_GB2312" w:cs="仿宋_GB2312"/>
          <w:sz w:val="32"/>
          <w:szCs w:val="32"/>
          <w:highlight w:val="none"/>
          <w:lang w:val="en-US" w:eastAsia="zh-CN"/>
        </w:rPr>
      </w:pPr>
    </w:p>
    <w:tbl>
      <w:tblPr>
        <w:tblStyle w:val="5"/>
        <w:tblpPr w:leftFromText="180" w:rightFromText="180" w:vertAnchor="page" w:horzAnchor="page" w:tblpX="1904" w:tblpY="1480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06"/>
      </w:tblGrid>
      <w:tr w14:paraId="0C9EEF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8306" w:type="dxa"/>
            <w:tcBorders>
              <w:top w:val="single" w:color="auto" w:sz="4" w:space="0"/>
              <w:left w:val="nil"/>
              <w:bottom w:val="single" w:color="auto" w:sz="4" w:space="0"/>
              <w:right w:val="nil"/>
            </w:tcBorders>
          </w:tcPr>
          <w:p w14:paraId="390B34E2">
            <w:pPr>
              <w:spacing w:line="560" w:lineRule="exact"/>
              <w:ind w:firstLine="280" w:firstLineChars="100"/>
              <w:rPr>
                <w:sz w:val="28"/>
                <w:szCs w:val="28"/>
              </w:rPr>
            </w:pPr>
            <w:r>
              <w:rPr>
                <w:rFonts w:hint="eastAsia" w:ascii="仿宋_GB2312" w:eastAsia="仿宋_GB2312"/>
                <w:sz w:val="28"/>
                <w:szCs w:val="28"/>
              </w:rPr>
              <w:t xml:space="preserve">党政办公室                          </w:t>
            </w:r>
            <w:r>
              <w:rPr>
                <w:rFonts w:ascii="仿宋_GB2312" w:eastAsia="仿宋_GB2312"/>
                <w:sz w:val="28"/>
                <w:szCs w:val="28"/>
              </w:rPr>
              <w:t>202</w:t>
            </w:r>
            <w:r>
              <w:rPr>
                <w:rFonts w:hint="eastAsia" w:ascii="仿宋_GB2312" w:eastAsia="仿宋_GB2312"/>
                <w:sz w:val="28"/>
                <w:szCs w:val="28"/>
                <w:lang w:val="en-US" w:eastAsia="zh-CN"/>
              </w:rPr>
              <w:t>4</w:t>
            </w:r>
            <w:r>
              <w:rPr>
                <w:rFonts w:hint="eastAsia" w:ascii="仿宋_GB2312" w:eastAsia="仿宋_GB2312"/>
                <w:sz w:val="28"/>
                <w:szCs w:val="28"/>
              </w:rPr>
              <w:t>年</w:t>
            </w:r>
            <w:r>
              <w:rPr>
                <w:rFonts w:hint="eastAsia" w:ascii="仿宋_GB2312" w:eastAsia="仿宋_GB2312"/>
                <w:sz w:val="28"/>
                <w:szCs w:val="28"/>
                <w:lang w:val="en-US" w:eastAsia="zh-CN"/>
              </w:rPr>
              <w:t>12</w:t>
            </w:r>
            <w:r>
              <w:rPr>
                <w:rFonts w:hint="eastAsia" w:ascii="仿宋_GB2312" w:eastAsia="仿宋_GB2312"/>
                <w:sz w:val="28"/>
                <w:szCs w:val="28"/>
              </w:rPr>
              <w:t>月</w:t>
            </w:r>
            <w:r>
              <w:rPr>
                <w:rFonts w:hint="eastAsia" w:ascii="仿宋_GB2312" w:eastAsia="仿宋_GB2312"/>
                <w:sz w:val="28"/>
                <w:szCs w:val="28"/>
                <w:lang w:val="en-US" w:eastAsia="zh-CN"/>
              </w:rPr>
              <w:t>18</w:t>
            </w:r>
            <w:r>
              <w:rPr>
                <w:rFonts w:hint="eastAsia" w:ascii="仿宋_GB2312" w:eastAsia="仿宋_GB2312"/>
                <w:sz w:val="28"/>
                <w:szCs w:val="28"/>
              </w:rPr>
              <w:t>日印发</w:t>
            </w:r>
          </w:p>
        </w:tc>
      </w:tr>
    </w:tbl>
    <w:p w14:paraId="4AFFC7A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outlineLvl w:val="9"/>
        <w:rPr>
          <w:rFonts w:hint="eastAsia" w:ascii="仿宋_GB2312" w:hAnsi="仿宋_GB2312" w:eastAsia="仿宋_GB2312" w:cs="仿宋_GB2312"/>
          <w:sz w:val="32"/>
          <w:szCs w:val="32"/>
          <w:highlight w:val="none"/>
          <w:lang w:val="en-US" w:eastAsia="zh-CN"/>
        </w:rPr>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pPr>
    </w:p>
    <w:p w14:paraId="19E8E7C6">
      <w:pPr>
        <w:keepNext w:val="0"/>
        <w:keepLines w:val="0"/>
        <w:pageBreakBefore w:val="0"/>
        <w:widowControl w:val="0"/>
        <w:kinsoku/>
        <w:wordWrap/>
        <w:overflowPunct/>
        <w:topLinePunct w:val="0"/>
        <w:autoSpaceDE/>
        <w:autoSpaceDN/>
        <w:bidi w:val="0"/>
        <w:adjustRightInd/>
        <w:snapToGrid w:val="0"/>
        <w:jc w:val="left"/>
        <w:textAlignment w:val="auto"/>
        <w:rPr>
          <w:rFonts w:hint="default" w:ascii="黑体" w:hAnsi="黑体" w:eastAsia="黑体" w:cs="黑体"/>
          <w:b w:val="0"/>
          <w:bCs/>
          <w:spacing w:val="20"/>
          <w:kern w:val="11"/>
          <w:sz w:val="32"/>
          <w:szCs w:val="20"/>
          <w:highlight w:val="none"/>
          <w:lang w:val="en-US" w:eastAsia="zh-CN"/>
        </w:rPr>
      </w:pPr>
      <w:r>
        <w:rPr>
          <w:rFonts w:hint="eastAsia" w:ascii="黑体" w:hAnsi="黑体" w:eastAsia="黑体" w:cs="黑体"/>
          <w:b w:val="0"/>
          <w:bCs/>
          <w:spacing w:val="20"/>
          <w:kern w:val="11"/>
          <w:sz w:val="32"/>
          <w:szCs w:val="20"/>
          <w:highlight w:val="none"/>
          <w:lang w:val="en-US" w:eastAsia="zh-CN"/>
        </w:rPr>
        <w:t>附件1</w:t>
      </w:r>
    </w:p>
    <w:p w14:paraId="13FC5D32">
      <w:pPr>
        <w:snapToGrid w:val="0"/>
        <w:spacing w:after="240"/>
        <w:jc w:val="center"/>
        <w:rPr>
          <w:rFonts w:hint="eastAsia" w:ascii="方正小标宋简体" w:hAnsi="方正小标宋简体" w:eastAsia="方正小标宋简体" w:cs="方正小标宋简体"/>
          <w:b w:val="0"/>
          <w:bCs/>
          <w:spacing w:val="20"/>
          <w:kern w:val="11"/>
          <w:sz w:val="44"/>
          <w:highlight w:val="none"/>
        </w:rPr>
      </w:pPr>
      <w:r>
        <w:rPr>
          <w:rFonts w:hint="eastAsia" w:ascii="方正小标宋简体" w:hAnsi="方正小标宋简体" w:eastAsia="方正小标宋简体" w:cs="方正小标宋简体"/>
          <w:b w:val="0"/>
          <w:bCs/>
          <w:spacing w:val="20"/>
          <w:kern w:val="11"/>
          <w:sz w:val="44"/>
          <w:highlight w:val="none"/>
          <w:lang w:val="en-US" w:eastAsia="zh-CN"/>
        </w:rPr>
        <w:t>北京青年政治学院</w:t>
      </w:r>
      <w:r>
        <w:rPr>
          <w:rFonts w:hint="eastAsia" w:ascii="方正小标宋简体" w:hAnsi="方正小标宋简体" w:eastAsia="方正小标宋简体" w:cs="方正小标宋简体"/>
          <w:b w:val="0"/>
          <w:bCs/>
          <w:spacing w:val="20"/>
          <w:kern w:val="11"/>
          <w:sz w:val="44"/>
          <w:highlight w:val="none"/>
        </w:rPr>
        <w:t>学生申诉申请书</w:t>
      </w:r>
    </w:p>
    <w:tbl>
      <w:tblPr>
        <w:tblStyle w:val="5"/>
        <w:tblW w:w="10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1993"/>
        <w:gridCol w:w="840"/>
        <w:gridCol w:w="630"/>
        <w:gridCol w:w="840"/>
        <w:gridCol w:w="657"/>
        <w:gridCol w:w="1463"/>
        <w:gridCol w:w="2854"/>
      </w:tblGrid>
      <w:tr w14:paraId="25E8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41" w:type="dxa"/>
            <w:noWrap w:val="0"/>
            <w:vAlign w:val="center"/>
          </w:tcPr>
          <w:p w14:paraId="74E8A36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姓名</w:t>
            </w:r>
          </w:p>
        </w:tc>
        <w:tc>
          <w:tcPr>
            <w:tcW w:w="1993" w:type="dxa"/>
            <w:noWrap w:val="0"/>
            <w:vAlign w:val="center"/>
          </w:tcPr>
          <w:p w14:paraId="20CEF88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40" w:type="dxa"/>
            <w:noWrap w:val="0"/>
            <w:vAlign w:val="center"/>
          </w:tcPr>
          <w:p w14:paraId="77B665C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性别</w:t>
            </w:r>
          </w:p>
        </w:tc>
        <w:tc>
          <w:tcPr>
            <w:tcW w:w="630" w:type="dxa"/>
            <w:noWrap w:val="0"/>
            <w:vAlign w:val="center"/>
          </w:tcPr>
          <w:p w14:paraId="04D47BF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40" w:type="dxa"/>
            <w:noWrap w:val="0"/>
            <w:vAlign w:val="center"/>
          </w:tcPr>
          <w:p w14:paraId="2607D3B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年龄</w:t>
            </w:r>
          </w:p>
        </w:tc>
        <w:tc>
          <w:tcPr>
            <w:tcW w:w="657" w:type="dxa"/>
            <w:noWrap w:val="0"/>
            <w:vAlign w:val="center"/>
          </w:tcPr>
          <w:p w14:paraId="2B9E1B78">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1463" w:type="dxa"/>
            <w:noWrap w:val="0"/>
            <w:vAlign w:val="center"/>
          </w:tcPr>
          <w:p w14:paraId="0FE1521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二级学院</w:t>
            </w:r>
          </w:p>
        </w:tc>
        <w:tc>
          <w:tcPr>
            <w:tcW w:w="2854" w:type="dxa"/>
            <w:noWrap w:val="0"/>
            <w:vAlign w:val="center"/>
          </w:tcPr>
          <w:p w14:paraId="0D35ACC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r>
      <w:tr w14:paraId="495D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41" w:type="dxa"/>
            <w:noWrap w:val="0"/>
            <w:vAlign w:val="center"/>
          </w:tcPr>
          <w:p w14:paraId="7AC9D47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班级</w:t>
            </w:r>
          </w:p>
        </w:tc>
        <w:tc>
          <w:tcPr>
            <w:tcW w:w="1993" w:type="dxa"/>
            <w:noWrap w:val="0"/>
            <w:vAlign w:val="center"/>
          </w:tcPr>
          <w:p w14:paraId="465C41C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40" w:type="dxa"/>
            <w:noWrap w:val="0"/>
            <w:vAlign w:val="center"/>
          </w:tcPr>
          <w:p w14:paraId="1AB89CD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学号</w:t>
            </w:r>
          </w:p>
        </w:tc>
        <w:tc>
          <w:tcPr>
            <w:tcW w:w="2127" w:type="dxa"/>
            <w:gridSpan w:val="3"/>
            <w:noWrap w:val="0"/>
            <w:vAlign w:val="center"/>
          </w:tcPr>
          <w:p w14:paraId="210F1BF9">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1463" w:type="dxa"/>
            <w:noWrap w:val="0"/>
            <w:vAlign w:val="center"/>
          </w:tcPr>
          <w:p w14:paraId="497BE98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联系方式</w:t>
            </w:r>
          </w:p>
        </w:tc>
        <w:tc>
          <w:tcPr>
            <w:tcW w:w="2854" w:type="dxa"/>
            <w:noWrap w:val="0"/>
            <w:vAlign w:val="center"/>
          </w:tcPr>
          <w:p w14:paraId="76EBC81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r>
      <w:tr w14:paraId="6F72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41" w:type="dxa"/>
            <w:noWrap w:val="0"/>
            <w:vAlign w:val="center"/>
          </w:tcPr>
          <w:p w14:paraId="1EAADAE5">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通讯地址</w:t>
            </w:r>
          </w:p>
        </w:tc>
        <w:tc>
          <w:tcPr>
            <w:tcW w:w="9277" w:type="dxa"/>
            <w:gridSpan w:val="7"/>
            <w:noWrap w:val="0"/>
            <w:vAlign w:val="center"/>
          </w:tcPr>
          <w:p w14:paraId="5B6F0B4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r>
      <w:tr w14:paraId="576F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4" w:hRule="atLeast"/>
          <w:jc w:val="center"/>
        </w:trPr>
        <w:tc>
          <w:tcPr>
            <w:tcW w:w="1341" w:type="dxa"/>
            <w:noWrap w:val="0"/>
            <w:vAlign w:val="center"/>
          </w:tcPr>
          <w:p w14:paraId="11563E38">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申诉</w:t>
            </w:r>
          </w:p>
          <w:p w14:paraId="17D7F15C">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请求</w:t>
            </w:r>
          </w:p>
        </w:tc>
        <w:tc>
          <w:tcPr>
            <w:tcW w:w="9277" w:type="dxa"/>
            <w:gridSpan w:val="7"/>
            <w:noWrap w:val="0"/>
            <w:vAlign w:val="top"/>
          </w:tcPr>
          <w:p w14:paraId="7524DDD6">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120A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9" w:hRule="atLeast"/>
          <w:jc w:val="center"/>
        </w:trPr>
        <w:tc>
          <w:tcPr>
            <w:tcW w:w="1341" w:type="dxa"/>
            <w:noWrap w:val="0"/>
            <w:vAlign w:val="center"/>
          </w:tcPr>
          <w:p w14:paraId="166EA1EA">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事</w:t>
            </w:r>
          </w:p>
          <w:p w14:paraId="3D111D6D">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实</w:t>
            </w:r>
          </w:p>
          <w:p w14:paraId="78703CDB">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和</w:t>
            </w:r>
          </w:p>
          <w:p w14:paraId="10786190">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理</w:t>
            </w:r>
          </w:p>
          <w:p w14:paraId="25989DB7">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 xml:space="preserve">由  </w:t>
            </w:r>
          </w:p>
        </w:tc>
        <w:tc>
          <w:tcPr>
            <w:tcW w:w="9277" w:type="dxa"/>
            <w:gridSpan w:val="7"/>
            <w:noWrap w:val="0"/>
            <w:vAlign w:val="top"/>
          </w:tcPr>
          <w:p w14:paraId="1E0577EC">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7A04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341" w:type="dxa"/>
            <w:noWrap w:val="0"/>
            <w:vAlign w:val="center"/>
          </w:tcPr>
          <w:p w14:paraId="6F1137F1">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所附证明资料名称</w:t>
            </w:r>
          </w:p>
        </w:tc>
        <w:tc>
          <w:tcPr>
            <w:tcW w:w="9277" w:type="dxa"/>
            <w:gridSpan w:val="7"/>
            <w:noWrap w:val="0"/>
            <w:vAlign w:val="top"/>
          </w:tcPr>
          <w:p w14:paraId="10B42155">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6095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341" w:type="dxa"/>
            <w:noWrap w:val="0"/>
            <w:vAlign w:val="center"/>
          </w:tcPr>
          <w:p w14:paraId="4FDC1651">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申诉人</w:t>
            </w:r>
          </w:p>
          <w:p w14:paraId="638EFC71">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签字</w:t>
            </w:r>
          </w:p>
        </w:tc>
        <w:tc>
          <w:tcPr>
            <w:tcW w:w="9277" w:type="dxa"/>
            <w:gridSpan w:val="7"/>
            <w:noWrap w:val="0"/>
            <w:vAlign w:val="center"/>
          </w:tcPr>
          <w:p w14:paraId="2641CB1A">
            <w:pPr>
              <w:adjustRightInd w:val="0"/>
              <w:snapToGrid w:val="0"/>
              <w:spacing w:line="240" w:lineRule="atLeast"/>
              <w:ind w:right="-55" w:firstLine="2800" w:firstLineChars="1000"/>
              <w:jc w:val="left"/>
              <w:rPr>
                <w:rFonts w:hint="default" w:ascii="仿宋_GB2312" w:hAnsi="仿宋_GB2312" w:eastAsia="仿宋_GB2312" w:cs="仿宋_GB2312"/>
                <w:bCs/>
                <w:sz w:val="28"/>
                <w:szCs w:val="28"/>
                <w:highlight w:val="none"/>
                <w:lang w:val="en-US"/>
              </w:rPr>
            </w:pPr>
            <w:r>
              <w:rPr>
                <w:rFonts w:hint="eastAsia" w:ascii="仿宋_GB2312" w:hAnsi="仿宋_GB2312" w:eastAsia="仿宋_GB2312" w:cs="仿宋_GB2312"/>
                <w:bCs/>
                <w:sz w:val="28"/>
                <w:szCs w:val="28"/>
                <w:highlight w:val="none"/>
                <w:lang w:val="en-US" w:eastAsia="zh-CN"/>
              </w:rPr>
              <w:t>签字：</w:t>
            </w:r>
          </w:p>
        </w:tc>
      </w:tr>
      <w:tr w14:paraId="0A4F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341" w:type="dxa"/>
            <w:noWrap w:val="0"/>
            <w:vAlign w:val="center"/>
          </w:tcPr>
          <w:p w14:paraId="0F6AAB53">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提交</w:t>
            </w:r>
          </w:p>
          <w:p w14:paraId="2F073E38">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申请书</w:t>
            </w:r>
          </w:p>
          <w:p w14:paraId="30071B05">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日期</w:t>
            </w:r>
          </w:p>
        </w:tc>
        <w:tc>
          <w:tcPr>
            <w:tcW w:w="9277" w:type="dxa"/>
            <w:gridSpan w:val="7"/>
            <w:noWrap w:val="0"/>
            <w:vAlign w:val="center"/>
          </w:tcPr>
          <w:p w14:paraId="6A4422E2">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 xml:space="preserve">年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月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日</w:t>
            </w:r>
          </w:p>
        </w:tc>
      </w:tr>
    </w:tbl>
    <w:p w14:paraId="0288005A">
      <w:pPr>
        <w:spacing w:line="300" w:lineRule="exact"/>
        <w:rPr>
          <w:rFonts w:hint="eastAsia" w:ascii="仿宋_GB2312" w:hAnsi="仿宋_GB2312" w:eastAsia="仿宋_GB2312" w:cs="仿宋_GB2312"/>
          <w:bCs/>
          <w:sz w:val="28"/>
          <w:szCs w:val="28"/>
          <w:highlight w:val="none"/>
        </w:rPr>
        <w:sectPr>
          <w:pgSz w:w="11906" w:h="16838"/>
          <w:pgMar w:top="2098" w:right="1474" w:bottom="1984" w:left="1587" w:header="851" w:footer="737" w:gutter="0"/>
          <w:pgNumType w:fmt="numberInDash"/>
          <w:cols w:space="720" w:num="1"/>
          <w:docGrid w:type="lines" w:linePitch="312" w:charSpace="0"/>
        </w:sectPr>
      </w:pPr>
      <w:r>
        <w:rPr>
          <w:rFonts w:hint="eastAsia" w:ascii="仿宋_GB2312" w:hAnsi="仿宋_GB2312" w:eastAsia="仿宋_GB2312" w:cs="仿宋_GB2312"/>
          <w:bCs/>
          <w:sz w:val="28"/>
          <w:szCs w:val="28"/>
          <w:highlight w:val="none"/>
        </w:rPr>
        <w:t>备注：请将相关证明资料附后</w:t>
      </w:r>
    </w:p>
    <w:p w14:paraId="3D8EB68D">
      <w:pPr>
        <w:keepNext w:val="0"/>
        <w:keepLines w:val="0"/>
        <w:pageBreakBefore w:val="0"/>
        <w:widowControl w:val="0"/>
        <w:kinsoku/>
        <w:wordWrap/>
        <w:overflowPunct/>
        <w:topLinePunct w:val="0"/>
        <w:autoSpaceDE/>
        <w:autoSpaceDN/>
        <w:bidi w:val="0"/>
        <w:adjustRightInd/>
        <w:snapToGrid w:val="0"/>
        <w:jc w:val="left"/>
        <w:textAlignment w:val="auto"/>
        <w:rPr>
          <w:rFonts w:hint="eastAsia" w:ascii="黑体" w:hAnsi="黑体" w:eastAsia="黑体" w:cs="黑体"/>
          <w:b w:val="0"/>
          <w:bCs/>
          <w:spacing w:val="20"/>
          <w:kern w:val="11"/>
          <w:sz w:val="32"/>
          <w:szCs w:val="20"/>
          <w:highlight w:val="none"/>
          <w:lang w:val="en-US" w:eastAsia="zh-CN"/>
        </w:rPr>
      </w:pPr>
      <w:r>
        <w:rPr>
          <w:rFonts w:hint="eastAsia" w:ascii="黑体" w:hAnsi="黑体" w:eastAsia="黑体" w:cs="黑体"/>
          <w:b w:val="0"/>
          <w:bCs/>
          <w:spacing w:val="20"/>
          <w:kern w:val="11"/>
          <w:sz w:val="32"/>
          <w:szCs w:val="20"/>
          <w:highlight w:val="none"/>
          <w:lang w:val="en-US" w:eastAsia="zh-CN"/>
        </w:rPr>
        <w:t>附件2</w:t>
      </w:r>
    </w:p>
    <w:p w14:paraId="08F4654E">
      <w:pPr>
        <w:snapToGrid w:val="0"/>
        <w:spacing w:after="240"/>
        <w:jc w:val="center"/>
        <w:rPr>
          <w:rFonts w:hint="eastAsia" w:ascii="方正小标宋简体" w:hAnsi="方正小标宋简体" w:eastAsia="方正小标宋简体" w:cs="方正小标宋简体"/>
          <w:b w:val="0"/>
          <w:bCs/>
          <w:spacing w:val="20"/>
          <w:kern w:val="11"/>
          <w:sz w:val="44"/>
          <w:highlight w:val="none"/>
          <w:lang w:val="en-US" w:eastAsia="zh-CN"/>
        </w:rPr>
      </w:pPr>
      <w:r>
        <w:rPr>
          <w:rFonts w:hint="eastAsia" w:ascii="方正小标宋简体" w:hAnsi="方正小标宋简体" w:eastAsia="方正小标宋简体" w:cs="方正小标宋简体"/>
          <w:b w:val="0"/>
          <w:bCs/>
          <w:spacing w:val="20"/>
          <w:kern w:val="11"/>
          <w:sz w:val="44"/>
          <w:highlight w:val="none"/>
          <w:lang w:val="en-US" w:eastAsia="zh-CN"/>
        </w:rPr>
        <w:t>北京青年政治学院申诉复查决定书</w:t>
      </w:r>
    </w:p>
    <w:tbl>
      <w:tblPr>
        <w:tblStyle w:val="5"/>
        <w:tblW w:w="10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855"/>
        <w:gridCol w:w="1400"/>
        <w:gridCol w:w="836"/>
        <w:gridCol w:w="745"/>
        <w:gridCol w:w="819"/>
        <w:gridCol w:w="763"/>
        <w:gridCol w:w="1400"/>
        <w:gridCol w:w="2459"/>
      </w:tblGrid>
      <w:tr w14:paraId="1B7F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36" w:type="dxa"/>
            <w:vMerge w:val="restart"/>
            <w:noWrap w:val="0"/>
            <w:vAlign w:val="center"/>
          </w:tcPr>
          <w:p w14:paraId="7D2D49E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申诉学生基本情况</w:t>
            </w:r>
          </w:p>
        </w:tc>
        <w:tc>
          <w:tcPr>
            <w:tcW w:w="855" w:type="dxa"/>
            <w:noWrap w:val="0"/>
            <w:vAlign w:val="center"/>
          </w:tcPr>
          <w:p w14:paraId="601615E4">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姓名</w:t>
            </w:r>
          </w:p>
        </w:tc>
        <w:tc>
          <w:tcPr>
            <w:tcW w:w="1400" w:type="dxa"/>
            <w:noWrap w:val="0"/>
            <w:vAlign w:val="center"/>
          </w:tcPr>
          <w:p w14:paraId="08D199C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36" w:type="dxa"/>
            <w:noWrap w:val="0"/>
            <w:vAlign w:val="center"/>
          </w:tcPr>
          <w:p w14:paraId="52F0D54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性别</w:t>
            </w:r>
          </w:p>
        </w:tc>
        <w:tc>
          <w:tcPr>
            <w:tcW w:w="745" w:type="dxa"/>
            <w:noWrap w:val="0"/>
            <w:vAlign w:val="center"/>
          </w:tcPr>
          <w:p w14:paraId="74BBD36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19" w:type="dxa"/>
            <w:noWrap w:val="0"/>
            <w:vAlign w:val="center"/>
          </w:tcPr>
          <w:p w14:paraId="4C3D4EF8">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年龄</w:t>
            </w:r>
          </w:p>
        </w:tc>
        <w:tc>
          <w:tcPr>
            <w:tcW w:w="763" w:type="dxa"/>
            <w:noWrap w:val="0"/>
            <w:vAlign w:val="center"/>
          </w:tcPr>
          <w:p w14:paraId="56D98D2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1400" w:type="dxa"/>
            <w:noWrap w:val="0"/>
            <w:vAlign w:val="center"/>
          </w:tcPr>
          <w:p w14:paraId="4FB979B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二级学院</w:t>
            </w:r>
          </w:p>
        </w:tc>
        <w:tc>
          <w:tcPr>
            <w:tcW w:w="2459" w:type="dxa"/>
            <w:noWrap w:val="0"/>
            <w:vAlign w:val="center"/>
          </w:tcPr>
          <w:p w14:paraId="402E1C8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r>
      <w:tr w14:paraId="4D78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36" w:type="dxa"/>
            <w:vMerge w:val="continue"/>
            <w:noWrap w:val="0"/>
            <w:vAlign w:val="center"/>
          </w:tcPr>
          <w:p w14:paraId="7954E23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55" w:type="dxa"/>
            <w:noWrap w:val="0"/>
            <w:vAlign w:val="center"/>
          </w:tcPr>
          <w:p w14:paraId="0621C0C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班级</w:t>
            </w:r>
          </w:p>
        </w:tc>
        <w:tc>
          <w:tcPr>
            <w:tcW w:w="1400" w:type="dxa"/>
            <w:noWrap w:val="0"/>
            <w:vAlign w:val="center"/>
          </w:tcPr>
          <w:p w14:paraId="60506E3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836" w:type="dxa"/>
            <w:noWrap w:val="0"/>
            <w:vAlign w:val="center"/>
          </w:tcPr>
          <w:p w14:paraId="3906930A">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学号</w:t>
            </w:r>
          </w:p>
        </w:tc>
        <w:tc>
          <w:tcPr>
            <w:tcW w:w="2327" w:type="dxa"/>
            <w:gridSpan w:val="3"/>
            <w:noWrap w:val="0"/>
            <w:vAlign w:val="center"/>
          </w:tcPr>
          <w:p w14:paraId="5EE0E97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c>
          <w:tcPr>
            <w:tcW w:w="1400" w:type="dxa"/>
            <w:noWrap w:val="0"/>
            <w:vAlign w:val="center"/>
          </w:tcPr>
          <w:p w14:paraId="0DF6A79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联系方式</w:t>
            </w:r>
          </w:p>
        </w:tc>
        <w:tc>
          <w:tcPr>
            <w:tcW w:w="2459" w:type="dxa"/>
            <w:noWrap w:val="0"/>
            <w:vAlign w:val="center"/>
          </w:tcPr>
          <w:p w14:paraId="6EE7EF7D">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jc w:val="center"/>
              <w:textAlignment w:val="auto"/>
              <w:rPr>
                <w:rFonts w:hint="eastAsia" w:ascii="仿宋_GB2312" w:hAnsi="仿宋_GB2312" w:eastAsia="仿宋_GB2312" w:cs="仿宋_GB2312"/>
                <w:bCs/>
                <w:sz w:val="28"/>
                <w:szCs w:val="28"/>
                <w:highlight w:val="none"/>
                <w:lang w:val="en-US" w:eastAsia="zh-CN"/>
              </w:rPr>
            </w:pPr>
          </w:p>
        </w:tc>
      </w:tr>
      <w:tr w14:paraId="43A5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1436" w:type="dxa"/>
            <w:noWrap w:val="0"/>
            <w:vAlign w:val="center"/>
          </w:tcPr>
          <w:p w14:paraId="068BE67D">
            <w:pPr>
              <w:adjustRightInd w:val="0"/>
              <w:snapToGrid w:val="0"/>
              <w:spacing w:line="240" w:lineRule="atLeast"/>
              <w:ind w:right="-55"/>
              <w:jc w:val="center"/>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原处理决定及依据</w:t>
            </w:r>
          </w:p>
        </w:tc>
        <w:tc>
          <w:tcPr>
            <w:tcW w:w="9277" w:type="dxa"/>
            <w:gridSpan w:val="8"/>
            <w:noWrap w:val="0"/>
            <w:vAlign w:val="top"/>
          </w:tcPr>
          <w:p w14:paraId="240E66D8">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6D0C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0" w:hRule="atLeast"/>
          <w:jc w:val="center"/>
        </w:trPr>
        <w:tc>
          <w:tcPr>
            <w:tcW w:w="1436" w:type="dxa"/>
            <w:noWrap w:val="0"/>
            <w:vAlign w:val="center"/>
          </w:tcPr>
          <w:p w14:paraId="309A7942">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学生申诉的事项</w:t>
            </w: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rPr>
              <w:t xml:space="preserve">理由及要求 </w:t>
            </w:r>
          </w:p>
        </w:tc>
        <w:tc>
          <w:tcPr>
            <w:tcW w:w="9277" w:type="dxa"/>
            <w:gridSpan w:val="8"/>
            <w:noWrap w:val="0"/>
            <w:vAlign w:val="top"/>
          </w:tcPr>
          <w:p w14:paraId="33216141">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6602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1436" w:type="dxa"/>
            <w:noWrap w:val="0"/>
            <w:vAlign w:val="center"/>
          </w:tcPr>
          <w:p w14:paraId="3ED212DA">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学生申诉处理委员会认定的事实、依据及程序</w:t>
            </w:r>
          </w:p>
        </w:tc>
        <w:tc>
          <w:tcPr>
            <w:tcW w:w="9277" w:type="dxa"/>
            <w:gridSpan w:val="8"/>
            <w:noWrap w:val="0"/>
            <w:vAlign w:val="top"/>
          </w:tcPr>
          <w:p w14:paraId="74EFBAA5">
            <w:pPr>
              <w:keepNext w:val="0"/>
              <w:keepLines w:val="0"/>
              <w:pageBreakBefore w:val="0"/>
              <w:widowControl w:val="0"/>
              <w:kinsoku/>
              <w:wordWrap/>
              <w:overflowPunct/>
              <w:topLinePunct w:val="0"/>
              <w:autoSpaceDE/>
              <w:autoSpaceDN/>
              <w:bidi w:val="0"/>
              <w:adjustRightInd w:val="0"/>
              <w:snapToGrid w:val="0"/>
              <w:spacing w:line="240" w:lineRule="auto"/>
              <w:ind w:right="-57"/>
              <w:jc w:val="both"/>
              <w:textAlignment w:val="auto"/>
              <w:rPr>
                <w:rFonts w:hint="eastAsia" w:ascii="仿宋_GB2312" w:hAnsi="仿宋_GB2312" w:eastAsia="仿宋_GB2312" w:cs="仿宋_GB2312"/>
                <w:bCs/>
                <w:sz w:val="28"/>
                <w:szCs w:val="28"/>
                <w:highlight w:val="none"/>
              </w:rPr>
            </w:pPr>
          </w:p>
        </w:tc>
      </w:tr>
      <w:tr w14:paraId="6414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2" w:hRule="atLeast"/>
          <w:jc w:val="center"/>
        </w:trPr>
        <w:tc>
          <w:tcPr>
            <w:tcW w:w="1436" w:type="dxa"/>
            <w:noWrap w:val="0"/>
            <w:vAlign w:val="center"/>
          </w:tcPr>
          <w:p w14:paraId="7DDBB7F8">
            <w:pPr>
              <w:adjustRightInd w:val="0"/>
              <w:snapToGrid w:val="0"/>
              <w:spacing w:line="240" w:lineRule="atLeast"/>
              <w:ind w:right="-55"/>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复查决定</w:t>
            </w:r>
          </w:p>
        </w:tc>
        <w:tc>
          <w:tcPr>
            <w:tcW w:w="9277" w:type="dxa"/>
            <w:gridSpan w:val="8"/>
            <w:noWrap w:val="0"/>
            <w:vAlign w:val="center"/>
          </w:tcPr>
          <w:p w14:paraId="15C53E78">
            <w:pPr>
              <w:adjustRightInd w:val="0"/>
              <w:snapToGrid w:val="0"/>
              <w:spacing w:line="240" w:lineRule="atLeast"/>
              <w:ind w:right="-55"/>
              <w:rPr>
                <w:rFonts w:hint="eastAsia" w:ascii="仿宋_GB2312" w:hAnsi="仿宋_GB2312" w:eastAsia="仿宋_GB2312" w:cs="仿宋_GB2312"/>
                <w:bCs/>
                <w:sz w:val="28"/>
                <w:szCs w:val="28"/>
                <w:highlight w:val="none"/>
              </w:rPr>
            </w:pPr>
          </w:p>
          <w:p w14:paraId="6D31713D">
            <w:pPr>
              <w:adjustRightInd w:val="0"/>
              <w:snapToGrid w:val="0"/>
              <w:spacing w:line="240" w:lineRule="atLeast"/>
              <w:ind w:right="-55"/>
              <w:rPr>
                <w:rFonts w:hint="eastAsia" w:ascii="仿宋_GB2312" w:hAnsi="仿宋_GB2312" w:eastAsia="仿宋_GB2312" w:cs="仿宋_GB2312"/>
                <w:bCs/>
                <w:sz w:val="28"/>
                <w:szCs w:val="28"/>
                <w:highlight w:val="none"/>
              </w:rPr>
            </w:pPr>
          </w:p>
          <w:p w14:paraId="2FE409C6">
            <w:pPr>
              <w:adjustRightInd w:val="0"/>
              <w:snapToGrid w:val="0"/>
              <w:spacing w:line="240" w:lineRule="atLeast"/>
              <w:ind w:right="-55"/>
              <w:rPr>
                <w:rFonts w:hint="eastAsia" w:ascii="仿宋_GB2312" w:hAnsi="仿宋_GB2312" w:eastAsia="仿宋_GB2312" w:cs="仿宋_GB2312"/>
                <w:bCs/>
                <w:sz w:val="28"/>
                <w:szCs w:val="28"/>
                <w:highlight w:val="none"/>
              </w:rPr>
            </w:pPr>
          </w:p>
          <w:p w14:paraId="51B836F7">
            <w:pPr>
              <w:adjustRightInd w:val="0"/>
              <w:snapToGrid w:val="0"/>
              <w:spacing w:line="240" w:lineRule="atLeast"/>
              <w:ind w:right="-55"/>
              <w:rPr>
                <w:rFonts w:hint="eastAsia" w:ascii="仿宋_GB2312" w:hAnsi="仿宋_GB2312" w:eastAsia="仿宋_GB2312" w:cs="仿宋_GB2312"/>
                <w:bCs/>
                <w:sz w:val="28"/>
                <w:szCs w:val="28"/>
                <w:highlight w:val="none"/>
              </w:rPr>
            </w:pPr>
          </w:p>
          <w:p w14:paraId="1F3572DC">
            <w:pPr>
              <w:adjustRightInd w:val="0"/>
              <w:snapToGrid w:val="0"/>
              <w:spacing w:line="240" w:lineRule="atLeast"/>
              <w:ind w:right="-55"/>
              <w:rPr>
                <w:rFonts w:hint="eastAsia" w:ascii="仿宋_GB2312" w:hAnsi="仿宋_GB2312" w:eastAsia="仿宋_GB2312" w:cs="仿宋_GB2312"/>
                <w:bCs/>
                <w:sz w:val="28"/>
                <w:szCs w:val="28"/>
                <w:highlight w:val="none"/>
              </w:rPr>
            </w:pPr>
          </w:p>
          <w:p w14:paraId="3DB1B6DB">
            <w:pPr>
              <w:keepNext w:val="0"/>
              <w:keepLines w:val="0"/>
              <w:pageBreakBefore w:val="0"/>
              <w:widowControl w:val="0"/>
              <w:kinsoku/>
              <w:wordWrap/>
              <w:overflowPunct/>
              <w:topLinePunct w:val="0"/>
              <w:autoSpaceDE/>
              <w:autoSpaceDN/>
              <w:bidi w:val="0"/>
              <w:adjustRightInd w:val="0"/>
              <w:snapToGrid w:val="0"/>
              <w:spacing w:after="157" w:afterLines="50" w:line="240" w:lineRule="atLeast"/>
              <w:ind w:right="-57"/>
              <w:jc w:val="righ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北京青年政治学院（盖章）</w:t>
            </w:r>
          </w:p>
          <w:p w14:paraId="1AC429AB">
            <w:pPr>
              <w:keepNext w:val="0"/>
              <w:keepLines w:val="0"/>
              <w:pageBreakBefore w:val="0"/>
              <w:widowControl w:val="0"/>
              <w:kinsoku/>
              <w:wordWrap w:val="0"/>
              <w:overflowPunct/>
              <w:topLinePunct w:val="0"/>
              <w:autoSpaceDE/>
              <w:autoSpaceDN/>
              <w:bidi w:val="0"/>
              <w:adjustRightInd w:val="0"/>
              <w:snapToGrid w:val="0"/>
              <w:spacing w:after="157" w:afterLines="50" w:line="240" w:lineRule="atLeast"/>
              <w:ind w:right="-57"/>
              <w:jc w:val="right"/>
              <w:textAlignment w:val="auto"/>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sz w:val="28"/>
                <w:szCs w:val="28"/>
                <w:highlight w:val="none"/>
              </w:rPr>
              <w:t xml:space="preserve">年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月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日</w:t>
            </w:r>
            <w:r>
              <w:rPr>
                <w:rFonts w:hint="eastAsia" w:ascii="仿宋_GB2312" w:hAnsi="仿宋_GB2312" w:eastAsia="仿宋_GB2312" w:cs="仿宋_GB2312"/>
                <w:sz w:val="28"/>
                <w:szCs w:val="28"/>
                <w:highlight w:val="none"/>
                <w:lang w:val="en-US" w:eastAsia="zh-CN"/>
              </w:rPr>
              <w:t xml:space="preserve">  </w:t>
            </w:r>
          </w:p>
        </w:tc>
      </w:tr>
    </w:tbl>
    <w:p w14:paraId="6E0A0EF0">
      <w:pPr>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eastAsia" w:ascii="仿宋_GB2312" w:hAnsi="仿宋_GB2312" w:eastAsia="仿宋_GB2312" w:cs="仿宋_GB2312"/>
          <w:bCs/>
          <w:sz w:val="28"/>
          <w:szCs w:val="28"/>
          <w:highlight w:val="none"/>
        </w:rPr>
        <w:t>备注：学生对复查决定有异议的，在接到学院复查决定书之日起15日内，可以向北京市教育委员会提出书面申诉。</w:t>
      </w:r>
    </w:p>
    <w:sectPr>
      <w:footerReference r:id="rId5" w:type="default"/>
      <w:pgSz w:w="11906" w:h="16838"/>
      <w:pgMar w:top="2098" w:right="1474" w:bottom="1984" w:left="1587" w:header="851" w:footer="56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DA79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0CD37A">
                          <w:pPr>
                            <w:rPr>
                              <w:rFonts w:hint="default"/>
                              <w:lang w:val="en-US" w:eastAsia="zh-CN"/>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- 13 -</w:t>
                          </w:r>
                          <w:r>
                            <w:rPr>
                              <w:rStyle w:val="7"/>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A0CD37A">
                    <w:pPr>
                      <w:rPr>
                        <w:rFonts w:hint="default"/>
                        <w:lang w:val="en-US" w:eastAsia="zh-CN"/>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- 13 -</w:t>
                    </w:r>
                    <w:r>
                      <w:rPr>
                        <w:rStyle w:val="7"/>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B3C9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D13450">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- 10 -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ED13450">
                    <w:pPr>
                      <w:pStyle w:val="3"/>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- 10 -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CFC32">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6E6F46"/>
    <w:rsid w:val="039713C7"/>
    <w:rsid w:val="09F7776F"/>
    <w:rsid w:val="12AF0C7F"/>
    <w:rsid w:val="1E7F371B"/>
    <w:rsid w:val="326E6F46"/>
    <w:rsid w:val="44E7410A"/>
    <w:rsid w:val="4A097448"/>
    <w:rsid w:val="4A1E01C3"/>
    <w:rsid w:val="4CFA0F18"/>
    <w:rsid w:val="4DDD77B4"/>
    <w:rsid w:val="531604AB"/>
    <w:rsid w:val="55077360"/>
    <w:rsid w:val="57CD3EDC"/>
    <w:rsid w:val="632C2152"/>
    <w:rsid w:val="64757426"/>
    <w:rsid w:val="73E91AE6"/>
    <w:rsid w:val="7CF87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paragraph" w:customStyle="1" w:styleId="8">
    <w:name w:val="无间隔1"/>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3223</Words>
  <Characters>3286</Characters>
  <Lines>0</Lines>
  <Paragraphs>0</Paragraphs>
  <TotalTime>13</TotalTime>
  <ScaleCrop>false</ScaleCrop>
  <LinksUpToDate>false</LinksUpToDate>
  <CharactersWithSpaces>3397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2024-12-11T02:42:00Z</dcterms:created>
  <dc:creator>DELL</dc:creator>
  <cp:lastModifiedBy>DELL</cp:lastModifiedBy>
  <dcterms:modified xsi:type="dcterms:W3CDTF">2024-12-18T03:03:59Z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C5E33F6C830B4D159E8733DE028A009D_13</vt:lpwstr>
  </property>
</Properties>
</file>