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394"/>
        <w:gridCol w:w="530"/>
      </w:tblGrid>
      <w:tr w14:paraId="6FE917BF">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tcPr>
          <w:tbl>
            <w:tblPr>
              <w:tblStyle w:val="2"/>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77"/>
              <w:gridCol w:w="542"/>
            </w:tblGrid>
            <w:tr w14:paraId="32295DE5">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vAlign w:val="center"/>
                </w:tcPr>
                <w:p w14:paraId="645B8955">
                  <w:pPr>
                    <w:jc w:val="center"/>
                    <w:rPr>
                      <w:rFonts w:ascii="方正小标宋简体" w:eastAsia="方正小标宋简体"/>
                      <w:sz w:val="64"/>
                      <w:szCs w:val="64"/>
                    </w:rPr>
                  </w:pPr>
                  <w:r>
                    <w:rPr>
                      <w:rFonts w:hint="eastAsia" w:ascii="方正小标宋简体" w:hAnsi="宋体" w:eastAsia="方正小标宋简体"/>
                      <w:color w:val="FF0000"/>
                      <w:spacing w:val="60"/>
                      <w:sz w:val="64"/>
                      <w:szCs w:val="64"/>
                    </w:rPr>
                    <w:t>北京青年政治学院文</w:t>
                  </w:r>
                  <w:r>
                    <w:rPr>
                      <w:rFonts w:hint="eastAsia" w:ascii="方正小标宋简体" w:hAnsi="宋体" w:eastAsia="方正小标宋简体"/>
                      <w:color w:val="FF0000"/>
                      <w:sz w:val="64"/>
                      <w:szCs w:val="64"/>
                    </w:rPr>
                    <w:t>件</w:t>
                  </w:r>
                </w:p>
              </w:tc>
            </w:tr>
            <w:tr w14:paraId="219FA91B">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7" w:type="pct"/>
                <w:trHeight w:val="638" w:hRule="atLeast"/>
                <w:jc w:val="center"/>
              </w:trPr>
              <w:tc>
                <w:tcPr>
                  <w:tcW w:w="4703" w:type="pct"/>
                  <w:tcBorders>
                    <w:top w:val="nil"/>
                    <w:left w:val="nil"/>
                    <w:bottom w:val="nil"/>
                    <w:right w:val="nil"/>
                  </w:tcBorders>
                  <w:vAlign w:val="center"/>
                </w:tcPr>
                <w:p w14:paraId="57785B8D">
                  <w:pPr>
                    <w:spacing w:line="540" w:lineRule="exact"/>
                    <w:jc w:val="center"/>
                    <w:rPr>
                      <w:rFonts w:ascii="仿宋_GB2312" w:hAnsi="宋体" w:eastAsia="仿宋_GB2312"/>
                      <w:color w:val="FF0000"/>
                      <w:sz w:val="32"/>
                      <w:szCs w:val="32"/>
                    </w:rPr>
                  </w:pPr>
                </w:p>
              </w:tc>
            </w:tr>
          </w:tbl>
          <w:p w14:paraId="31D32FF4">
            <w:pPr>
              <w:jc w:val="center"/>
              <w:rPr>
                <w:rFonts w:ascii="楷体_GB2312" w:eastAsia="楷体_GB2312"/>
                <w:sz w:val="32"/>
                <w:szCs w:val="32"/>
              </w:rPr>
            </w:pPr>
            <w:r>
              <w:rPr>
                <w:rFonts w:hint="eastAsia" w:ascii="仿宋_GB2312" w:eastAsia="仿宋_GB2312"/>
                <w:sz w:val="32"/>
                <w:szCs w:val="32"/>
              </w:rPr>
              <w:t>院发〔2025〕</w:t>
            </w:r>
            <w:r>
              <w:rPr>
                <w:rFonts w:hint="eastAsia" w:ascii="仿宋_GB2312" w:eastAsia="仿宋_GB2312"/>
                <w:sz w:val="32"/>
                <w:szCs w:val="32"/>
                <w:lang w:val="en-US" w:eastAsia="zh-CN"/>
              </w:rPr>
              <w:t>3</w:t>
            </w:r>
            <w:r>
              <w:rPr>
                <w:rFonts w:hint="eastAsia" w:ascii="仿宋_GB2312" w:eastAsia="仿宋_GB2312"/>
                <w:sz w:val="32"/>
                <w:szCs w:val="32"/>
              </w:rPr>
              <w:t>1号</w:t>
            </w:r>
          </w:p>
        </w:tc>
      </w:tr>
      <w:tr w14:paraId="5EC58B21">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97" w:type="pct"/>
          <w:trHeight w:val="638" w:hRule="atLeast"/>
          <w:jc w:val="center"/>
        </w:trPr>
        <w:tc>
          <w:tcPr>
            <w:tcW w:w="4703" w:type="pct"/>
            <w:tcBorders>
              <w:top w:val="nil"/>
              <w:left w:val="nil"/>
              <w:bottom w:val="nil"/>
              <w:right w:val="nil"/>
            </w:tcBorders>
          </w:tcPr>
          <w:p w14:paraId="373AFD29">
            <w:pPr>
              <w:spacing w:line="520" w:lineRule="exact"/>
              <w:jc w:val="center"/>
              <w:rPr>
                <w:rFonts w:ascii="方正小标宋简体" w:hAnsi="宋体" w:eastAsia="方正小标宋简体" w:cs="宋体"/>
                <w:bCs/>
                <w:sz w:val="44"/>
                <w:szCs w:val="44"/>
              </w:rPr>
            </w:pPr>
            <w:bookmarkStart w:id="4" w:name="_GoBack"/>
            <w:r>
              <mc:AlternateContent>
                <mc:Choice Requires="wps">
                  <w:drawing>
                    <wp:anchor distT="0" distB="0" distL="114300" distR="114300" simplePos="0" relativeHeight="251659264" behindDoc="0" locked="0" layoutInCell="1" allowOverlap="1">
                      <wp:simplePos x="0" y="0"/>
                      <wp:positionH relativeFrom="column">
                        <wp:posOffset>-114300</wp:posOffset>
                      </wp:positionH>
                      <wp:positionV relativeFrom="paragraph">
                        <wp:posOffset>97790</wp:posOffset>
                      </wp:positionV>
                      <wp:extent cx="5829300" cy="0"/>
                      <wp:effectExtent l="0" t="9525" r="0" b="952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FF0000"/>
                                </a:solidFill>
                                <a:round/>
                              </a:ln>
                            </wps:spPr>
                            <wps:bodyPr/>
                          </wps:wsp>
                        </a:graphicData>
                      </a:graphic>
                    </wp:anchor>
                  </w:drawing>
                </mc:Choice>
                <mc:Fallback>
                  <w:pict>
                    <v:line id="_x0000_s1026" o:spid="_x0000_s1026" o:spt="20" style="position:absolute;left:0pt;margin-left:-9pt;margin-top:7.7pt;height:0pt;width:459pt;z-index:251659264;mso-width-relative:page;mso-height-relative:page;" filled="f" stroked="t" coordsize="21600,21600" o:gfxdata="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6ENL89cA&#10;AAAJAQAADwAAAAAAAAABACAAAAAiAAAAZHJzL2Rvd25yZXYueG1sUEsBAhQAFAAAAAgAh07iQMjc&#10;/xLnAQAAqwMAAA4AAAAAAAAAAQAgAAAAJgEAAGRycy9lMm9Eb2MueG1sUEsFBgAAAAAGAAYAWQEA&#10;AH8FAAAAAA==&#10;">
                      <v:fill on="f" focussize="0,0"/>
                      <v:stroke weight="1.5pt" color="#FF0000" joinstyle="round"/>
                      <v:imagedata o:title=""/>
                      <o:lock v:ext="edit" aspectratio="f"/>
                    </v:line>
                  </w:pict>
                </mc:Fallback>
              </mc:AlternateContent>
            </w:r>
            <w:bookmarkEnd w:id="4"/>
          </w:p>
        </w:tc>
      </w:tr>
    </w:tbl>
    <w:p w14:paraId="23E50D4B">
      <w:pPr>
        <w:keepNext w:val="0"/>
        <w:keepLines w:val="0"/>
        <w:pageBreakBefore w:val="0"/>
        <w:widowControl w:val="0"/>
        <w:kinsoku/>
        <w:wordWrap/>
        <w:overflowPunct/>
        <w:topLinePunct w:val="0"/>
        <w:autoSpaceDE/>
        <w:autoSpaceDN/>
        <w:bidi w:val="0"/>
        <w:adjustRightInd/>
        <w:snapToGrid/>
        <w:spacing w:before="625" w:beforeLines="200" w:line="560" w:lineRule="exact"/>
        <w:jc w:val="center"/>
        <w:textAlignment w:val="auto"/>
        <w:rPr>
          <w:rFonts w:ascii="方正小标宋简体" w:hAnsi="华文中宋" w:eastAsia="方正小标宋简体"/>
          <w:sz w:val="44"/>
          <w:szCs w:val="44"/>
        </w:rPr>
      </w:pPr>
      <w:r>
        <w:rPr>
          <w:rFonts w:hint="eastAsia" w:ascii="方正小标宋简体" w:hAnsi="华文中宋" w:eastAsia="方正小标宋简体"/>
          <w:sz w:val="44"/>
          <w:szCs w:val="44"/>
        </w:rPr>
        <w:t>北京青年政治学院关于印发</w:t>
      </w:r>
    </w:p>
    <w:p w14:paraId="3DAAACD2">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Calibri" w:eastAsia="仿宋_GB2312"/>
          <w:sz w:val="32"/>
          <w:szCs w:val="32"/>
        </w:rPr>
      </w:pPr>
      <w:r>
        <w:rPr>
          <w:rFonts w:hint="eastAsia" w:ascii="方正小标宋简体" w:hAnsi="华文中宋" w:eastAsia="方正小标宋简体"/>
          <w:sz w:val="44"/>
          <w:szCs w:val="44"/>
        </w:rPr>
        <w:t>《北京青年政治学院学籍管理规定》的通知</w:t>
      </w:r>
    </w:p>
    <w:p w14:paraId="6FFB46A6">
      <w:pPr>
        <w:keepNext w:val="0"/>
        <w:keepLines w:val="0"/>
        <w:pageBreakBefore w:val="0"/>
        <w:widowControl w:val="0"/>
        <w:kinsoku/>
        <w:wordWrap/>
        <w:overflowPunct/>
        <w:topLinePunct w:val="0"/>
        <w:autoSpaceDE/>
        <w:autoSpaceDN/>
        <w:bidi w:val="0"/>
        <w:adjustRightInd/>
        <w:snapToGrid/>
        <w:spacing w:before="313" w:beforeLines="100" w:line="560" w:lineRule="exact"/>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各部门</w:t>
      </w:r>
      <w:r>
        <w:rPr>
          <w:rFonts w:hint="eastAsia" w:ascii="楷体_GB2312" w:hAnsi="楷体" w:eastAsia="楷体_GB2312"/>
          <w:color w:val="000000"/>
          <w:sz w:val="32"/>
          <w:szCs w:val="32"/>
          <w:lang w:eastAsia="zh-CN"/>
        </w:rPr>
        <w:t>（</w:t>
      </w:r>
      <w:r>
        <w:rPr>
          <w:rFonts w:hint="eastAsia" w:ascii="楷体_GB2312" w:hAnsi="楷体" w:eastAsia="楷体_GB2312"/>
          <w:color w:val="000000"/>
          <w:sz w:val="32"/>
          <w:szCs w:val="32"/>
        </w:rPr>
        <w:t>单位</w:t>
      </w:r>
      <w:r>
        <w:rPr>
          <w:rFonts w:hint="eastAsia" w:ascii="楷体_GB2312" w:hAnsi="楷体" w:eastAsia="楷体_GB2312"/>
          <w:color w:val="000000"/>
          <w:sz w:val="32"/>
          <w:szCs w:val="32"/>
          <w:lang w:eastAsia="zh-CN"/>
        </w:rPr>
        <w:t>）</w:t>
      </w:r>
      <w:r>
        <w:rPr>
          <w:rFonts w:hint="eastAsia" w:ascii="楷体_GB2312" w:hAnsi="楷体" w:eastAsia="楷体_GB2312"/>
          <w:color w:val="000000"/>
          <w:sz w:val="32"/>
          <w:szCs w:val="32"/>
        </w:rPr>
        <w:t>:</w:t>
      </w:r>
    </w:p>
    <w:p w14:paraId="0F04182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《北京青年政治学院学籍管理规定》经学院202</w:t>
      </w:r>
      <w:r>
        <w:rPr>
          <w:rFonts w:ascii="楷体_GB2312" w:hAnsi="楷体" w:eastAsia="楷体_GB2312"/>
          <w:color w:val="000000"/>
          <w:sz w:val="32"/>
          <w:szCs w:val="32"/>
        </w:rPr>
        <w:t>5</w:t>
      </w:r>
      <w:r>
        <w:rPr>
          <w:rFonts w:hint="eastAsia" w:ascii="楷体_GB2312" w:hAnsi="楷体" w:eastAsia="楷体_GB2312"/>
          <w:color w:val="000000"/>
          <w:sz w:val="32"/>
          <w:szCs w:val="32"/>
        </w:rPr>
        <w:t>年</w:t>
      </w:r>
      <w:r>
        <w:rPr>
          <w:rFonts w:ascii="楷体_GB2312" w:hAnsi="楷体" w:eastAsia="楷体_GB2312"/>
          <w:color w:val="000000"/>
          <w:sz w:val="32"/>
          <w:szCs w:val="32"/>
        </w:rPr>
        <w:t>7</w:t>
      </w:r>
      <w:r>
        <w:rPr>
          <w:rFonts w:hint="eastAsia" w:ascii="楷体_GB2312" w:hAnsi="楷体" w:eastAsia="楷体_GB2312"/>
          <w:color w:val="000000"/>
          <w:sz w:val="32"/>
          <w:szCs w:val="32"/>
        </w:rPr>
        <w:t>月</w:t>
      </w:r>
      <w:r>
        <w:rPr>
          <w:rFonts w:ascii="楷体_GB2312" w:hAnsi="楷体" w:eastAsia="楷体_GB2312"/>
          <w:color w:val="000000"/>
          <w:sz w:val="32"/>
          <w:szCs w:val="32"/>
        </w:rPr>
        <w:t>10</w:t>
      </w:r>
      <w:r>
        <w:rPr>
          <w:rFonts w:hint="eastAsia" w:ascii="楷体_GB2312" w:hAnsi="楷体" w:eastAsia="楷体_GB2312"/>
          <w:color w:val="000000"/>
          <w:sz w:val="32"/>
          <w:szCs w:val="32"/>
        </w:rPr>
        <w:t>日第</w:t>
      </w:r>
      <w:r>
        <w:rPr>
          <w:rFonts w:hint="eastAsia" w:ascii="楷体_GB2312" w:hAnsi="楷体" w:eastAsia="楷体_GB2312"/>
          <w:color w:val="000000"/>
          <w:sz w:val="32"/>
          <w:szCs w:val="32"/>
          <w:lang w:val="en-US" w:eastAsia="zh-CN"/>
        </w:rPr>
        <w:t>19</w:t>
      </w:r>
      <w:r>
        <w:rPr>
          <w:rFonts w:hint="eastAsia" w:ascii="楷体_GB2312" w:hAnsi="楷体" w:eastAsia="楷体_GB2312"/>
          <w:color w:val="000000"/>
          <w:sz w:val="32"/>
          <w:szCs w:val="32"/>
        </w:rPr>
        <w:t>次院长办公会讨论通过，现印发给你们，请认真遵照执行。</w:t>
      </w:r>
    </w:p>
    <w:p w14:paraId="3011DD82">
      <w:pPr>
        <w:keepNext w:val="0"/>
        <w:keepLines w:val="0"/>
        <w:pageBreakBefore w:val="0"/>
        <w:kinsoku/>
        <w:wordWrap/>
        <w:overflowPunct/>
        <w:topLinePunct w:val="0"/>
        <w:autoSpaceDE/>
        <w:autoSpaceDN/>
        <w:bidi w:val="0"/>
        <w:adjustRightInd/>
        <w:snapToGrid/>
        <w:spacing w:line="560" w:lineRule="exact"/>
        <w:textAlignment w:val="auto"/>
        <w:rPr>
          <w:rFonts w:ascii="楷体_GB2312" w:hAnsi="楷体_GB2312" w:eastAsia="楷体_GB2312" w:cs="楷体_GB2312"/>
          <w:sz w:val="32"/>
          <w:szCs w:val="32"/>
        </w:rPr>
      </w:pPr>
    </w:p>
    <w:p w14:paraId="424208EF">
      <w:pPr>
        <w:keepNext w:val="0"/>
        <w:keepLines w:val="0"/>
        <w:pageBreakBefore w:val="0"/>
        <w:kinsoku/>
        <w:wordWrap/>
        <w:overflowPunct/>
        <w:topLinePunct w:val="0"/>
        <w:autoSpaceDE/>
        <w:autoSpaceDN/>
        <w:bidi w:val="0"/>
        <w:adjustRightInd/>
        <w:snapToGrid/>
        <w:spacing w:line="560" w:lineRule="exact"/>
        <w:ind w:left="3559" w:leftChars="1695" w:firstLine="1440" w:firstLineChars="450"/>
        <w:jc w:val="left"/>
        <w:textAlignment w:val="auto"/>
        <w:rPr>
          <w:rFonts w:ascii="楷体_GB2312" w:hAnsi="楷体_GB2312" w:eastAsia="楷体_GB2312" w:cs="楷体_GB2312"/>
          <w:sz w:val="32"/>
          <w:szCs w:val="32"/>
        </w:rPr>
      </w:pPr>
    </w:p>
    <w:p w14:paraId="09507556">
      <w:pPr>
        <w:keepNext w:val="0"/>
        <w:keepLines w:val="0"/>
        <w:pageBreakBefore w:val="0"/>
        <w:kinsoku/>
        <w:wordWrap/>
        <w:overflowPunct/>
        <w:topLinePunct w:val="0"/>
        <w:autoSpaceDE/>
        <w:autoSpaceDN/>
        <w:bidi w:val="0"/>
        <w:adjustRightInd/>
        <w:snapToGrid/>
        <w:spacing w:line="560" w:lineRule="exact"/>
        <w:ind w:firstLine="4800" w:firstLineChars="1500"/>
        <w:jc w:val="left"/>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北京青年政治学院</w:t>
      </w:r>
    </w:p>
    <w:p w14:paraId="4B142F71">
      <w:pPr>
        <w:keepNext w:val="0"/>
        <w:keepLines w:val="0"/>
        <w:pageBreakBefore w:val="0"/>
        <w:kinsoku/>
        <w:wordWrap/>
        <w:overflowPunct/>
        <w:topLinePunct w:val="0"/>
        <w:autoSpaceDE/>
        <w:autoSpaceDN/>
        <w:bidi w:val="0"/>
        <w:adjustRightInd/>
        <w:snapToGrid/>
        <w:spacing w:line="560" w:lineRule="exact"/>
        <w:ind w:firstLine="4800" w:firstLineChars="1500"/>
        <w:jc w:val="left"/>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2025年</w:t>
      </w:r>
      <w:r>
        <w:rPr>
          <w:rFonts w:hint="eastAsia" w:ascii="楷体_GB2312" w:hAnsi="楷体_GB2312" w:eastAsia="楷体_GB2312" w:cs="楷体_GB2312"/>
          <w:sz w:val="32"/>
          <w:szCs w:val="32"/>
          <w:lang w:val="en-US" w:eastAsia="zh-CN"/>
        </w:rPr>
        <w:t>7</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22</w:t>
      </w:r>
      <w:r>
        <w:rPr>
          <w:rFonts w:hint="eastAsia" w:ascii="楷体_GB2312" w:hAnsi="楷体_GB2312" w:eastAsia="楷体_GB2312" w:cs="楷体_GB2312"/>
          <w:sz w:val="32"/>
          <w:szCs w:val="32"/>
        </w:rPr>
        <w:t>日</w:t>
      </w:r>
    </w:p>
    <w:p w14:paraId="3FD9ADE0">
      <w:pPr>
        <w:keepNext w:val="0"/>
        <w:keepLines w:val="0"/>
        <w:pageBreakBefore w:val="0"/>
        <w:kinsoku/>
        <w:wordWrap/>
        <w:overflowPunct/>
        <w:topLinePunct w:val="0"/>
        <w:autoSpaceDE/>
        <w:autoSpaceDN/>
        <w:bidi w:val="0"/>
        <w:adjustRightInd/>
        <w:snapToGrid/>
        <w:spacing w:line="560" w:lineRule="exact"/>
        <w:jc w:val="center"/>
        <w:textAlignment w:val="auto"/>
        <w:rPr>
          <w:rFonts w:ascii="楷体_GB2312" w:hAnsi="楷体_GB2312" w:eastAsia="楷体_GB2312" w:cs="楷体_GB2312"/>
          <w:bCs/>
          <w:w w:val="96"/>
          <w:sz w:val="44"/>
          <w:szCs w:val="44"/>
        </w:rPr>
      </w:pPr>
    </w:p>
    <w:p w14:paraId="09EBAABD">
      <w:pPr>
        <w:keepNext w:val="0"/>
        <w:keepLines w:val="0"/>
        <w:pageBreakBefore w:val="0"/>
        <w:kinsoku/>
        <w:wordWrap/>
        <w:overflowPunct/>
        <w:topLinePunct w:val="0"/>
        <w:autoSpaceDE/>
        <w:autoSpaceDN/>
        <w:bidi w:val="0"/>
        <w:adjustRightInd/>
        <w:snapToGrid/>
        <w:spacing w:before="312" w:beforeLines="100" w:after="312" w:afterLines="100" w:line="560" w:lineRule="exact"/>
        <w:textAlignment w:val="auto"/>
        <w:rPr>
          <w:rFonts w:ascii="方正小标宋简体" w:hAnsi="方正小标宋简体" w:eastAsia="方正小标宋简体" w:cs="方正小标宋简体"/>
          <w:snapToGrid w:val="0"/>
          <w:spacing w:val="6"/>
          <w:kern w:val="21"/>
          <w:sz w:val="36"/>
          <w:szCs w:val="36"/>
        </w:rPr>
      </w:pPr>
      <w:r>
        <w:rPr>
          <w:rFonts w:ascii="方正小标宋简体" w:hAnsi="宋体" w:eastAsia="方正小标宋简体"/>
          <w:sz w:val="44"/>
          <w:szCs w:val="44"/>
        </w:rPr>
        <w:br w:type="page"/>
      </w:r>
    </w:p>
    <w:p w14:paraId="0CDF5AC0">
      <w:pPr>
        <w:keepNext w:val="0"/>
        <w:keepLines w:val="0"/>
        <w:pageBreakBefore w:val="0"/>
        <w:kinsoku/>
        <w:wordWrap/>
        <w:overflowPunct/>
        <w:topLinePunct w:val="0"/>
        <w:autoSpaceDE/>
        <w:autoSpaceDN/>
        <w:bidi w:val="0"/>
        <w:adjustRightInd/>
        <w:snapToGrid/>
        <w:spacing w:line="560" w:lineRule="exact"/>
        <w:jc w:val="center"/>
        <w:textAlignment w:val="auto"/>
        <w:rPr>
          <w:rFonts w:ascii="仿宋_GB2312" w:hAnsi="仿宋" w:eastAsia="仿宋_GB2312" w:cs="Times New Roman"/>
          <w:sz w:val="32"/>
          <w:szCs w:val="32"/>
        </w:rPr>
      </w:pPr>
      <w:r>
        <w:rPr>
          <w:rFonts w:hint="eastAsia" w:ascii="方正小标宋简体" w:hAnsi="华文中宋" w:eastAsia="方正小标宋简体" w:cs="Times New Roman"/>
          <w:sz w:val="44"/>
          <w:szCs w:val="44"/>
        </w:rPr>
        <w:t>北京青年政治学院学籍管理规定</w:t>
      </w:r>
    </w:p>
    <w:p w14:paraId="1FA8308E">
      <w:pPr>
        <w:keepNext w:val="0"/>
        <w:keepLines w:val="0"/>
        <w:pageBreakBefore w:val="0"/>
        <w:widowControl w:val="0"/>
        <w:kinsoku/>
        <w:wordWrap/>
        <w:overflowPunct/>
        <w:topLinePunct w:val="0"/>
        <w:autoSpaceDE/>
        <w:autoSpaceDN/>
        <w:bidi w:val="0"/>
        <w:adjustRightInd/>
        <w:snapToGrid/>
        <w:spacing w:before="313" w:beforeLines="100" w:line="560" w:lineRule="exact"/>
        <w:jc w:val="center"/>
        <w:textAlignment w:val="auto"/>
        <w:rPr>
          <w:rFonts w:ascii="仿宋_GB2312" w:hAnsi="仿宋" w:eastAsia="仿宋_GB2312" w:cs="Times New Roman"/>
          <w:sz w:val="32"/>
          <w:szCs w:val="32"/>
        </w:rPr>
      </w:pPr>
      <w:r>
        <w:rPr>
          <w:rFonts w:hint="eastAsia" w:ascii="仿宋_GB2312" w:hAnsi="仿宋_GB2312" w:eastAsia="仿宋_GB2312" w:cs="仿宋_GB2312"/>
          <w:bCs/>
          <w:color w:val="000000"/>
          <w:kern w:val="0"/>
          <w:sz w:val="32"/>
          <w:szCs w:val="32"/>
        </w:rPr>
        <w:t>（2023年9月26日第</w:t>
      </w:r>
      <w:r>
        <w:rPr>
          <w:rFonts w:hint="eastAsia" w:ascii="仿宋_GB2312" w:hAnsi="仿宋_GB2312" w:eastAsia="仿宋_GB2312" w:cs="仿宋_GB2312"/>
          <w:bCs/>
          <w:color w:val="000000"/>
          <w:kern w:val="0"/>
          <w:sz w:val="32"/>
          <w:szCs w:val="32"/>
          <w:lang w:val="en-US" w:eastAsia="zh-CN"/>
        </w:rPr>
        <w:t>22</w:t>
      </w:r>
      <w:r>
        <w:rPr>
          <w:rFonts w:hint="eastAsia" w:ascii="仿宋_GB2312" w:hAnsi="仿宋_GB2312" w:eastAsia="仿宋_GB2312" w:cs="仿宋_GB2312"/>
          <w:bCs/>
          <w:color w:val="000000"/>
          <w:kern w:val="0"/>
          <w:sz w:val="32"/>
          <w:szCs w:val="32"/>
        </w:rPr>
        <w:t xml:space="preserve">次院长办公会会议通过 </w:t>
      </w:r>
      <w:r>
        <w:rPr>
          <w:rFonts w:hint="eastAsia" w:ascii="仿宋_GB2312" w:hAnsi="仿宋_GB2312" w:eastAsia="仿宋_GB2312" w:cs="仿宋_GB2312"/>
          <w:bCs/>
          <w:color w:val="000000"/>
          <w:kern w:val="0"/>
          <w:sz w:val="32"/>
          <w:szCs w:val="32"/>
          <w:lang w:val="en-US" w:eastAsia="zh-CN"/>
        </w:rPr>
        <w:t xml:space="preserve"> </w:t>
      </w:r>
      <w:r>
        <w:rPr>
          <w:rFonts w:hint="eastAsia" w:ascii="仿宋_GB2312" w:hAnsi="仿宋_GB2312" w:eastAsia="仿宋_GB2312" w:cs="仿宋_GB2312"/>
          <w:bCs/>
          <w:color w:val="000000"/>
          <w:kern w:val="0"/>
          <w:sz w:val="32"/>
          <w:szCs w:val="32"/>
        </w:rPr>
        <w:t xml:space="preserve">2023年10月25日发布 </w:t>
      </w:r>
      <w:r>
        <w:rPr>
          <w:rFonts w:hint="eastAsia" w:ascii="仿宋_GB2312" w:hAnsi="仿宋_GB2312" w:eastAsia="仿宋_GB2312" w:cs="仿宋_GB2312"/>
          <w:bCs/>
          <w:color w:val="000000"/>
          <w:kern w:val="0"/>
          <w:sz w:val="32"/>
          <w:szCs w:val="32"/>
          <w:lang w:val="en-US" w:eastAsia="zh-CN"/>
        </w:rPr>
        <w:t xml:space="preserve"> </w:t>
      </w:r>
      <w:r>
        <w:rPr>
          <w:rFonts w:hint="eastAsia" w:ascii="仿宋_GB2312" w:hAnsi="仿宋_GB2312" w:eastAsia="仿宋_GB2312" w:cs="仿宋_GB2312"/>
          <w:bCs/>
          <w:color w:val="000000"/>
          <w:kern w:val="0"/>
          <w:sz w:val="32"/>
          <w:szCs w:val="32"/>
        </w:rPr>
        <w:t>2025年7月10日第</w:t>
      </w:r>
      <w:r>
        <w:rPr>
          <w:rFonts w:hint="eastAsia" w:ascii="仿宋_GB2312" w:hAnsi="仿宋_GB2312" w:eastAsia="仿宋_GB2312" w:cs="仿宋_GB2312"/>
          <w:bCs/>
          <w:color w:val="000000"/>
          <w:kern w:val="0"/>
          <w:sz w:val="32"/>
          <w:szCs w:val="32"/>
          <w:lang w:val="en-US" w:eastAsia="zh-CN"/>
        </w:rPr>
        <w:t>19</w:t>
      </w:r>
      <w:r>
        <w:rPr>
          <w:rFonts w:hint="eastAsia" w:ascii="仿宋_GB2312" w:hAnsi="仿宋_GB2312" w:eastAsia="仿宋_GB2312" w:cs="仿宋_GB2312"/>
          <w:bCs/>
          <w:color w:val="000000"/>
          <w:kern w:val="0"/>
          <w:sz w:val="32"/>
          <w:szCs w:val="32"/>
        </w:rPr>
        <w:t xml:space="preserve">次院长办公会会议修订 </w:t>
      </w:r>
      <w:r>
        <w:rPr>
          <w:rFonts w:hint="eastAsia" w:ascii="仿宋_GB2312" w:hAnsi="仿宋_GB2312" w:eastAsia="仿宋_GB2312" w:cs="仿宋_GB2312"/>
          <w:bCs/>
          <w:color w:val="000000"/>
          <w:kern w:val="0"/>
          <w:sz w:val="32"/>
          <w:szCs w:val="32"/>
          <w:lang w:val="en-US" w:eastAsia="zh-CN"/>
        </w:rPr>
        <w:t xml:space="preserve"> </w:t>
      </w:r>
      <w:r>
        <w:rPr>
          <w:rFonts w:hint="eastAsia" w:ascii="仿宋_GB2312" w:hAnsi="仿宋_GB2312" w:eastAsia="仿宋_GB2312" w:cs="仿宋_GB2312"/>
          <w:bCs/>
          <w:color w:val="000000"/>
          <w:kern w:val="0"/>
          <w:sz w:val="32"/>
          <w:szCs w:val="32"/>
        </w:rPr>
        <w:t>2025年</w:t>
      </w:r>
      <w:r>
        <w:rPr>
          <w:rFonts w:hint="eastAsia" w:ascii="仿宋_GB2312" w:hAnsi="仿宋_GB2312" w:eastAsia="仿宋_GB2312" w:cs="仿宋_GB2312"/>
          <w:bCs/>
          <w:color w:val="000000"/>
          <w:kern w:val="0"/>
          <w:sz w:val="32"/>
          <w:szCs w:val="32"/>
          <w:lang w:val="en-US" w:eastAsia="zh-CN"/>
        </w:rPr>
        <w:t>7</w:t>
      </w:r>
      <w:r>
        <w:rPr>
          <w:rFonts w:hint="eastAsia" w:ascii="仿宋_GB2312" w:hAnsi="仿宋_GB2312" w:eastAsia="仿宋_GB2312" w:cs="仿宋_GB2312"/>
          <w:bCs/>
          <w:color w:val="000000"/>
          <w:kern w:val="0"/>
          <w:sz w:val="32"/>
          <w:szCs w:val="32"/>
        </w:rPr>
        <w:t>月</w:t>
      </w:r>
      <w:r>
        <w:rPr>
          <w:rFonts w:hint="eastAsia" w:ascii="仿宋_GB2312" w:hAnsi="仿宋_GB2312" w:eastAsia="仿宋_GB2312" w:cs="仿宋_GB2312"/>
          <w:bCs/>
          <w:color w:val="000000"/>
          <w:kern w:val="0"/>
          <w:sz w:val="32"/>
          <w:szCs w:val="32"/>
          <w:lang w:val="en-US" w:eastAsia="zh-CN"/>
        </w:rPr>
        <w:t>22</w:t>
      </w:r>
      <w:r>
        <w:rPr>
          <w:rFonts w:hint="eastAsia" w:ascii="仿宋_GB2312" w:hAnsi="仿宋_GB2312" w:eastAsia="仿宋_GB2312" w:cs="仿宋_GB2312"/>
          <w:bCs/>
          <w:color w:val="000000"/>
          <w:kern w:val="0"/>
          <w:sz w:val="32"/>
          <w:szCs w:val="32"/>
        </w:rPr>
        <w:t>日发布）</w:t>
      </w:r>
    </w:p>
    <w:p w14:paraId="4409C4D0">
      <w:pPr>
        <w:keepNext w:val="0"/>
        <w:keepLines w:val="0"/>
        <w:pageBreakBefore w:val="0"/>
        <w:widowControl w:val="0"/>
        <w:kinsoku/>
        <w:wordWrap/>
        <w:overflowPunct/>
        <w:topLinePunct w:val="0"/>
        <w:autoSpaceDE/>
        <w:autoSpaceDN/>
        <w:bidi w:val="0"/>
        <w:adjustRightInd/>
        <w:snapToGrid/>
        <w:spacing w:before="313" w:beforeLines="100"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为了维护学校正常的教育教学秩序，维护学生的合法权益，树立良好的校风、学风，不断提高教育教学质量，保障学生身心健康，促进学生德智体美劳全面发展，依据《中华人民共和国高等教育法》、《普通高等学校学生管理规定》（中华人民共和国教育部令第41号）以及相关法律、法规，并结合学校实际，制定本规定。</w:t>
      </w:r>
    </w:p>
    <w:p w14:paraId="1A4EBDA7">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s="Times New Roman"/>
          <w:sz w:val="32"/>
          <w:szCs w:val="32"/>
        </w:rPr>
      </w:pPr>
      <w:r>
        <w:rPr>
          <w:rFonts w:hint="eastAsia" w:ascii="黑体" w:hAnsi="黑体" w:eastAsia="黑体" w:cs="Times New Roman"/>
          <w:sz w:val="32"/>
          <w:szCs w:val="32"/>
        </w:rPr>
        <w:t>一、入学与注册</w:t>
      </w:r>
    </w:p>
    <w:p w14:paraId="29DBFAC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第一条</w:t>
      </w:r>
      <w:r>
        <w:rPr>
          <w:rFonts w:hint="eastAsia" w:ascii="仿宋_GB2312" w:hAnsi="仿宋" w:eastAsia="仿宋_GB2312" w:cs="Times New Roman"/>
          <w:sz w:val="32"/>
          <w:szCs w:val="32"/>
        </w:rPr>
        <w:t xml:space="preserve"> 按照国家招生规定录取的新生，须持学校发放的正式录取通知书、本人有效身份证件及学校规定的其他材料，按规定期限到校办理入学手续。因故不能按期报到者，须事先向学校请假，并附相关证明。请假一般不超过两周。未经请假（含请假未获批准）超过两周不报到或请假逾期者，除因不可抗力等正当事由外，视为放弃入学资格。</w:t>
      </w:r>
    </w:p>
    <w:p w14:paraId="185C8D52">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第二条</w:t>
      </w:r>
      <w:r>
        <w:rPr>
          <w:rFonts w:hint="eastAsia" w:ascii="仿宋_GB2312" w:hAnsi="仿宋" w:eastAsia="仿宋_GB2312" w:cs="Times New Roman"/>
          <w:sz w:val="32"/>
          <w:szCs w:val="32"/>
        </w:rPr>
        <w:t xml:space="preserve"> 学校在新生报到时对新生入学资格进行初步审查，审查合格的办理入学手续，予以注册学籍；审查发现新生的录取通知、考生信息等证明材料，与本人实际情况不符，或者有其他违反国家招生考试规定情形的，取消入学资格。</w:t>
      </w:r>
    </w:p>
    <w:p w14:paraId="6A259639">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第三条</w:t>
      </w:r>
      <w:r>
        <w:rPr>
          <w:rFonts w:hint="eastAsia" w:ascii="仿宋_GB2312" w:hAnsi="仿宋" w:eastAsia="仿宋_GB2312" w:cs="Times New Roman"/>
          <w:sz w:val="32"/>
          <w:szCs w:val="32"/>
        </w:rPr>
        <w:t xml:space="preserve"> 对患有疾病的新生，经学校指定的二级甲等以上医院诊断不宜在校学习的，可以保留入学资格一年，保留入学资格期间不具有学籍。在此期间经治疗康复的，须在下学年开学前提出入学申请，经学校指定医疗机构复查合格的，可办理入学手续。复查不合格或逾期不办理入学手续且未有因不可抗力延迟等正当理由的，视为放弃入学资格。</w:t>
      </w:r>
    </w:p>
    <w:p w14:paraId="23322F68">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bCs/>
          <w:sz w:val="32"/>
          <w:szCs w:val="32"/>
          <w:lang w:bidi="ar"/>
        </w:rPr>
      </w:pPr>
      <w:r>
        <w:rPr>
          <w:rFonts w:hint="eastAsia" w:ascii="仿宋_GB2312" w:hAnsi="仿宋" w:eastAsia="仿宋_GB2312" w:cs="Times New Roman"/>
          <w:b/>
          <w:bCs/>
          <w:sz w:val="32"/>
          <w:szCs w:val="32"/>
          <w:lang w:bidi="ar"/>
        </w:rPr>
        <w:t xml:space="preserve">第四条 </w:t>
      </w:r>
      <w:r>
        <w:rPr>
          <w:rFonts w:hint="eastAsia" w:ascii="仿宋_GB2312" w:hAnsi="仿宋" w:eastAsia="仿宋_GB2312" w:cs="Times New Roman"/>
          <w:bCs/>
          <w:sz w:val="32"/>
          <w:szCs w:val="32"/>
          <w:lang w:bidi="ar"/>
        </w:rPr>
        <w:t>学生入学后，学校在3个月内按照国家招生规定进行复查。复查内容主要包括以下方面：</w:t>
      </w:r>
    </w:p>
    <w:p w14:paraId="14DC2BE8">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bCs/>
          <w:sz w:val="32"/>
          <w:szCs w:val="32"/>
          <w:lang w:bidi="ar"/>
        </w:rPr>
      </w:pPr>
      <w:r>
        <w:rPr>
          <w:rFonts w:hint="eastAsia" w:ascii="仿宋_GB2312" w:hAnsi="仿宋" w:eastAsia="仿宋_GB2312" w:cs="Times New Roman"/>
          <w:bCs/>
          <w:sz w:val="32"/>
          <w:szCs w:val="32"/>
          <w:lang w:bidi="ar"/>
        </w:rPr>
        <w:t>（一）录取手续及程序等是否合乎国家招生规定；</w:t>
      </w:r>
    </w:p>
    <w:p w14:paraId="6478422B">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bCs/>
          <w:sz w:val="32"/>
          <w:szCs w:val="32"/>
          <w:lang w:bidi="ar"/>
        </w:rPr>
      </w:pPr>
      <w:r>
        <w:rPr>
          <w:rFonts w:hint="eastAsia" w:ascii="仿宋_GB2312" w:hAnsi="仿宋" w:eastAsia="仿宋_GB2312" w:cs="Times New Roman"/>
          <w:bCs/>
          <w:sz w:val="32"/>
          <w:szCs w:val="32"/>
          <w:lang w:bidi="ar"/>
        </w:rPr>
        <w:t>（二）所获得的录取资格是否真实、合乎相关规定；</w:t>
      </w:r>
    </w:p>
    <w:p w14:paraId="0F2B750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bCs/>
          <w:sz w:val="32"/>
          <w:szCs w:val="32"/>
          <w:lang w:bidi="ar"/>
        </w:rPr>
      </w:pPr>
      <w:r>
        <w:rPr>
          <w:rFonts w:hint="eastAsia" w:ascii="仿宋_GB2312" w:hAnsi="仿宋" w:eastAsia="仿宋_GB2312" w:cs="Times New Roman"/>
          <w:bCs/>
          <w:sz w:val="32"/>
          <w:szCs w:val="32"/>
          <w:lang w:bidi="ar"/>
        </w:rPr>
        <w:t>（三）本人及身份证明与录取通知、考生档案等是否一致；</w:t>
      </w:r>
    </w:p>
    <w:p w14:paraId="63278B89">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bCs/>
          <w:sz w:val="32"/>
          <w:szCs w:val="32"/>
          <w:lang w:bidi="ar"/>
        </w:rPr>
      </w:pPr>
      <w:r>
        <w:rPr>
          <w:rFonts w:hint="eastAsia" w:ascii="仿宋_GB2312" w:hAnsi="仿宋" w:eastAsia="仿宋_GB2312" w:cs="Times New Roman"/>
          <w:bCs/>
          <w:sz w:val="32"/>
          <w:szCs w:val="32"/>
          <w:lang w:bidi="ar"/>
        </w:rPr>
        <w:t>（四）身心健康状况是否符合报考专业或者专业类别体检要求，能否保证在校正常学习、生活；</w:t>
      </w:r>
    </w:p>
    <w:p w14:paraId="17FCBABD">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bCs/>
          <w:sz w:val="32"/>
          <w:szCs w:val="32"/>
          <w:lang w:bidi="ar"/>
        </w:rPr>
      </w:pPr>
      <w:r>
        <w:rPr>
          <w:rFonts w:hint="eastAsia" w:ascii="仿宋_GB2312" w:hAnsi="仿宋" w:eastAsia="仿宋_GB2312" w:cs="Times New Roman"/>
          <w:bCs/>
          <w:sz w:val="32"/>
          <w:szCs w:val="32"/>
          <w:lang w:bidi="ar"/>
        </w:rPr>
        <w:t>（五）艺术等特殊类型录取学生的专业水平是否符合录取要求。</w:t>
      </w:r>
    </w:p>
    <w:p w14:paraId="26F30CBA">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lang w:bidi="ar"/>
        </w:rPr>
      </w:pPr>
      <w:r>
        <w:rPr>
          <w:rFonts w:hint="eastAsia" w:ascii="仿宋_GB2312" w:hAnsi="仿宋" w:eastAsia="仿宋_GB2312" w:cs="Times New Roman"/>
          <w:sz w:val="32"/>
          <w:szCs w:val="32"/>
          <w:lang w:bidi="ar"/>
        </w:rPr>
        <w:t>复查中发现学生存在弄虚作假、徇私舞弊等情形的，确定为复查不合格，予以取消学籍处理；情节严重的，移交有关部门调查处理。</w:t>
      </w:r>
    </w:p>
    <w:p w14:paraId="584E4A05">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lang w:bidi="ar"/>
        </w:rPr>
      </w:pPr>
      <w:r>
        <w:rPr>
          <w:rFonts w:hint="eastAsia" w:ascii="仿宋_GB2312" w:hAnsi="仿宋" w:eastAsia="仿宋_GB2312" w:cs="Times New Roman"/>
          <w:sz w:val="32"/>
          <w:szCs w:val="32"/>
          <w:lang w:bidi="ar"/>
        </w:rPr>
        <w:t>复查中发现学生身心状况不适宜在校学习，经学校指定的二级甲等以上医院诊断，需要在家休养的，可以按照第三条的规定保留入学资格。</w:t>
      </w:r>
    </w:p>
    <w:p w14:paraId="547E0F46">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第五条</w:t>
      </w:r>
      <w:r>
        <w:rPr>
          <w:rFonts w:hint="eastAsia" w:ascii="仿宋_GB2312" w:hAnsi="仿宋" w:eastAsia="仿宋_GB2312" w:cs="Times New Roman"/>
          <w:sz w:val="32"/>
          <w:szCs w:val="32"/>
        </w:rPr>
        <w:t xml:space="preserve"> 每学期开学时学生应按规定到校办理学费缴纳及学籍注册手续。未按规定缴纳学费或其他不符合学籍注册条件的，不予注册。因故不能如期注册者，必须履行暂缓注册手续，否则以旷课论。未经请假逾期两周未完成注册的，按退学处理。学生注册后方可取得在校学习资格，可参加选课及其他教学活动。</w:t>
      </w:r>
    </w:p>
    <w:p w14:paraId="0B680D5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家庭经济困难的学生在按相关规定办理申请国家助学贷款或其他形式资助的手续后，经批准可暂缓注册。此类暂缓注册的学生可以修读当年相关课程，并在缴纳学费后正式注册。其所修课程及成绩在正式注册后才有效。因不按规定申请贷款超过两周未注册的或获得贷款后不按时缴纳学费的，按退学处理。</w:t>
      </w:r>
    </w:p>
    <w:p w14:paraId="57E10DE5">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Times New Roman" w:eastAsia="仿宋_GB2312" w:cs="Times New Roman"/>
          <w:color w:val="000000"/>
          <w:sz w:val="32"/>
          <w:szCs w:val="32"/>
        </w:rPr>
      </w:pPr>
      <w:r>
        <w:rPr>
          <w:rFonts w:ascii="仿宋_GB2312" w:hAnsi="仿宋" w:eastAsia="仿宋_GB2312" w:cs="Times New Roman"/>
          <w:b/>
          <w:sz w:val="32"/>
          <w:szCs w:val="32"/>
        </w:rPr>
        <w:t>第六条</w:t>
      </w:r>
      <w:r>
        <w:rPr>
          <w:rFonts w:hint="eastAsia" w:ascii="仿宋_GB2312" w:hAnsi="仿宋" w:eastAsia="仿宋_GB2312" w:cs="Times New Roman"/>
          <w:b/>
          <w:sz w:val="32"/>
          <w:szCs w:val="32"/>
        </w:rPr>
        <w:t xml:space="preserve"> </w:t>
      </w:r>
      <w:r>
        <w:rPr>
          <w:rFonts w:hint="eastAsia" w:ascii="仿宋_GB2312" w:hAnsi="Times New Roman" w:eastAsia="仿宋_GB2312" w:cs="Times New Roman"/>
          <w:color w:val="000000"/>
          <w:sz w:val="32"/>
          <w:szCs w:val="32"/>
        </w:rPr>
        <w:t>凡具有北京青年政治学院学籍的在读学生，可以持有北京青年政治学院学生证，学生证加盖钢印后生效。学生在校期间，应妥善保管学生证，如有丢失，原则上每年可以补发两次。丢失学生证的学生，须向所在二级学院提出书面申请，写明原因，经核实后，由二级学院主管学生工作的负责人签字后，交至教务处运行科核准，方可补发。学生证补发时间为每年6月份和</w:t>
      </w:r>
      <w:r>
        <w:rPr>
          <w:rFonts w:ascii="仿宋_GB2312" w:hAnsi="Times New Roman" w:eastAsia="仿宋_GB2312" w:cs="Times New Roman"/>
          <w:color w:val="000000"/>
          <w:sz w:val="32"/>
          <w:szCs w:val="32"/>
        </w:rPr>
        <w:t>1</w:t>
      </w:r>
      <w:r>
        <w:rPr>
          <w:rFonts w:hint="eastAsia" w:ascii="仿宋_GB2312" w:hAnsi="Times New Roman" w:eastAsia="仿宋_GB2312" w:cs="Times New Roman"/>
          <w:color w:val="000000"/>
          <w:sz w:val="32"/>
          <w:szCs w:val="32"/>
        </w:rPr>
        <w:t>2</w:t>
      </w:r>
      <w:r>
        <w:rPr>
          <w:rFonts w:ascii="仿宋_GB2312" w:hAnsi="Times New Roman" w:eastAsia="仿宋_GB2312" w:cs="Times New Roman"/>
          <w:color w:val="000000"/>
          <w:sz w:val="32"/>
          <w:szCs w:val="32"/>
        </w:rPr>
        <w:t>月份</w:t>
      </w:r>
      <w:r>
        <w:rPr>
          <w:rFonts w:hint="eastAsia" w:ascii="仿宋_GB2312" w:hAnsi="Times New Roman" w:eastAsia="仿宋_GB2312" w:cs="Times New Roman"/>
          <w:color w:val="000000"/>
          <w:sz w:val="32"/>
          <w:szCs w:val="32"/>
        </w:rPr>
        <w:t>。</w:t>
      </w:r>
    </w:p>
    <w:p w14:paraId="7813642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毕业生在离校前，应注销学生证。</w:t>
      </w:r>
    </w:p>
    <w:p w14:paraId="11235D8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学生证不得转借和涂改，因违反规定而引起的一切后果，由学生本人负责，造成经济损失的应负责赔偿。</w:t>
      </w:r>
    </w:p>
    <w:p w14:paraId="3259B007">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s="Times New Roman"/>
          <w:sz w:val="32"/>
          <w:szCs w:val="32"/>
        </w:rPr>
      </w:pPr>
      <w:r>
        <w:rPr>
          <w:rFonts w:hint="eastAsia" w:ascii="黑体" w:hAnsi="黑体" w:eastAsia="黑体" w:cs="Times New Roman"/>
          <w:sz w:val="32"/>
          <w:szCs w:val="32"/>
        </w:rPr>
        <w:t>二、学制与学分</w:t>
      </w:r>
    </w:p>
    <w:p w14:paraId="0BE40641">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第七条</w:t>
      </w:r>
      <w:r>
        <w:rPr>
          <w:rFonts w:hint="eastAsia" w:ascii="仿宋_GB2312" w:hAnsi="仿宋" w:eastAsia="仿宋_GB2312" w:cs="Times New Roman"/>
          <w:sz w:val="32"/>
          <w:szCs w:val="32"/>
        </w:rPr>
        <w:t xml:space="preserve"> 取得学籍的学生，以专业培养方案规定的学习年限为参考，标准学制为三年，实行一学年两学期制。</w:t>
      </w:r>
    </w:p>
    <w:p w14:paraId="6E3ACDE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实行弹性学制。各专业学生应修学分按专业培养方案执行。学生按培养方案规定提前修满学分的，可以申请提前毕业；允许延长修业年限，但最长修业年限不得超过五年。</w:t>
      </w:r>
    </w:p>
    <w:p w14:paraId="4B62FFB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因各种原因保留学籍、休学等均计入修业年限（服兵役除外）。</w:t>
      </w:r>
    </w:p>
    <w:p w14:paraId="4C854E4F">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b/>
          <w:sz w:val="32"/>
          <w:szCs w:val="32"/>
        </w:rPr>
      </w:pPr>
      <w:r>
        <w:rPr>
          <w:rFonts w:hint="eastAsia" w:ascii="仿宋_GB2312" w:hAnsi="仿宋" w:eastAsia="仿宋_GB2312" w:cs="Times New Roman"/>
          <w:b/>
          <w:sz w:val="32"/>
          <w:szCs w:val="32"/>
        </w:rPr>
        <w:t>第八条</w:t>
      </w:r>
      <w:r>
        <w:rPr>
          <w:rFonts w:hint="eastAsia" w:ascii="仿宋_GB2312" w:hAnsi="仿宋" w:eastAsia="仿宋_GB2312" w:cs="Times New Roman"/>
          <w:sz w:val="32"/>
          <w:szCs w:val="32"/>
        </w:rPr>
        <w:t xml:space="preserve"> 学分管理</w:t>
      </w:r>
    </w:p>
    <w:p w14:paraId="7B50483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（一）学分是计算学生完成一门课程所需时间和学习成效的单位，是学校组织教学活动、确定学生能否毕业的重要依据，计算学分应以教学计划安排的课程时数为主要依据。</w:t>
      </w:r>
    </w:p>
    <w:p w14:paraId="60DE0D8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（二）原则上课内16学时为1学分，综合实践课程以周为单位，每周计1学分。学生在校期间，完成专业人才培养方案规定的各类课程及教学环节的学习，经考核取得规定学分，方可毕业。</w:t>
      </w:r>
    </w:p>
    <w:p w14:paraId="70AB4C7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（三）课程学分值表示学习量，绩点、课程学分绩点、平均学分绩点表示学习成绩优劣。</w:t>
      </w:r>
    </w:p>
    <w:p w14:paraId="76124E8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1.绩点</w:t>
      </w:r>
    </w:p>
    <w:p w14:paraId="0C86467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将百分制成绩按A、B、C、D、E分为五个等级，对应的绩点分别为4、3、2、1、0。</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0"/>
        <w:gridCol w:w="2841"/>
        <w:gridCol w:w="1627"/>
      </w:tblGrid>
      <w:tr w14:paraId="3EC7D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580A1837">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成绩</w:t>
            </w:r>
          </w:p>
        </w:tc>
        <w:tc>
          <w:tcPr>
            <w:tcW w:w="2841" w:type="dxa"/>
          </w:tcPr>
          <w:p w14:paraId="566DF7DD">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等级</w:t>
            </w:r>
          </w:p>
        </w:tc>
        <w:tc>
          <w:tcPr>
            <w:tcW w:w="1627" w:type="dxa"/>
          </w:tcPr>
          <w:p w14:paraId="785FAF9F">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绩点</w:t>
            </w:r>
          </w:p>
        </w:tc>
      </w:tr>
      <w:tr w14:paraId="64F9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637E74B0">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90－100</w:t>
            </w:r>
          </w:p>
        </w:tc>
        <w:tc>
          <w:tcPr>
            <w:tcW w:w="2841" w:type="dxa"/>
          </w:tcPr>
          <w:p w14:paraId="46F219CA">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A (优秀)</w:t>
            </w:r>
          </w:p>
        </w:tc>
        <w:tc>
          <w:tcPr>
            <w:tcW w:w="1627" w:type="dxa"/>
          </w:tcPr>
          <w:p w14:paraId="7D6B1DA4">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4</w:t>
            </w:r>
          </w:p>
        </w:tc>
      </w:tr>
      <w:tr w14:paraId="0ED0A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2CED91D9">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80－89</w:t>
            </w:r>
          </w:p>
        </w:tc>
        <w:tc>
          <w:tcPr>
            <w:tcW w:w="2841" w:type="dxa"/>
          </w:tcPr>
          <w:p w14:paraId="13244495">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B (良好)</w:t>
            </w:r>
          </w:p>
        </w:tc>
        <w:tc>
          <w:tcPr>
            <w:tcW w:w="1627" w:type="dxa"/>
          </w:tcPr>
          <w:p w14:paraId="256D9505">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3</w:t>
            </w:r>
          </w:p>
        </w:tc>
      </w:tr>
      <w:tr w14:paraId="398F4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369A503B">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70－79</w:t>
            </w:r>
          </w:p>
        </w:tc>
        <w:tc>
          <w:tcPr>
            <w:tcW w:w="2841" w:type="dxa"/>
          </w:tcPr>
          <w:p w14:paraId="104004AD">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C (中等)</w:t>
            </w:r>
          </w:p>
        </w:tc>
        <w:tc>
          <w:tcPr>
            <w:tcW w:w="1627" w:type="dxa"/>
          </w:tcPr>
          <w:p w14:paraId="43572D8F">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2</w:t>
            </w:r>
          </w:p>
        </w:tc>
      </w:tr>
      <w:tr w14:paraId="4F33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090E0F79">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60－69</w:t>
            </w:r>
          </w:p>
        </w:tc>
        <w:tc>
          <w:tcPr>
            <w:tcW w:w="2841" w:type="dxa"/>
          </w:tcPr>
          <w:p w14:paraId="25EBF718">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D (及格）</w:t>
            </w:r>
          </w:p>
        </w:tc>
        <w:tc>
          <w:tcPr>
            <w:tcW w:w="1627" w:type="dxa"/>
          </w:tcPr>
          <w:p w14:paraId="5261EA5D">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1</w:t>
            </w:r>
          </w:p>
        </w:tc>
      </w:tr>
      <w:tr w14:paraId="6A2C2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0" w:type="dxa"/>
          </w:tcPr>
          <w:p w14:paraId="57E7AE45">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&lt;60</w:t>
            </w:r>
          </w:p>
        </w:tc>
        <w:tc>
          <w:tcPr>
            <w:tcW w:w="2841" w:type="dxa"/>
          </w:tcPr>
          <w:p w14:paraId="35934842">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E (不及格)</w:t>
            </w:r>
          </w:p>
        </w:tc>
        <w:tc>
          <w:tcPr>
            <w:tcW w:w="1627" w:type="dxa"/>
          </w:tcPr>
          <w:p w14:paraId="2114491C">
            <w:pPr>
              <w:keepNext w:val="0"/>
              <w:keepLines w:val="0"/>
              <w:pageBreakBefore w:val="0"/>
              <w:kinsoku/>
              <w:wordWrap/>
              <w:overflowPunct/>
              <w:topLinePunct w:val="0"/>
              <w:autoSpaceDE/>
              <w:autoSpaceDN/>
              <w:bidi w:val="0"/>
              <w:adjustRightInd/>
              <w:snapToGrid/>
              <w:spacing w:line="560" w:lineRule="exact"/>
              <w:ind w:firstLine="560" w:firstLineChars="200"/>
              <w:textAlignment w:val="auto"/>
              <w:rPr>
                <w:rFonts w:ascii="仿宋" w:hAnsi="仿宋" w:eastAsia="仿宋" w:cs="Times New Roman"/>
                <w:sz w:val="28"/>
                <w:szCs w:val="28"/>
              </w:rPr>
            </w:pPr>
            <w:r>
              <w:rPr>
                <w:rFonts w:hint="eastAsia" w:ascii="仿宋" w:hAnsi="仿宋" w:eastAsia="仿宋" w:cs="Times New Roman"/>
                <w:sz w:val="28"/>
                <w:szCs w:val="28"/>
              </w:rPr>
              <w:t>0</w:t>
            </w:r>
          </w:p>
        </w:tc>
      </w:tr>
    </w:tbl>
    <w:p w14:paraId="7DD0B34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2.课程学分绩点</w:t>
      </w:r>
    </w:p>
    <w:p w14:paraId="14B00AA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课程学分绩点表示学生学习某一门课程的质和量，等于课程学分数与课程绩点数之乘积，即：课程学分绩点＝课程学分数×绩点数</w:t>
      </w:r>
    </w:p>
    <w:p w14:paraId="46E6A17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3.平均学分绩点</w:t>
      </w:r>
    </w:p>
    <w:p w14:paraId="0A90472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平均学分绩点表示学生在某一阶段的学习质量，等于学生在某一学习阶段所得的各课程学分绩点之和除以所修相应课程学分数之和，即：</w:t>
      </w:r>
    </w:p>
    <w:p w14:paraId="4CF35BE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平均学分绩点＝各门课程学分绩点之和÷各门课程学分数之和</w:t>
      </w:r>
    </w:p>
    <w:p w14:paraId="15A41D9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（四）学生参加创新创业活动以及发表论文、获得专利授权等与专业学习、学业要求相关的经历、成果，可以折算为学分，计入学业成绩。具体</w:t>
      </w:r>
      <w:r>
        <w:rPr>
          <w:rFonts w:ascii="仿宋_GB2312" w:hAnsi="仿宋" w:eastAsia="仿宋_GB2312" w:cs="Times New Roman"/>
          <w:sz w:val="32"/>
          <w:szCs w:val="32"/>
        </w:rPr>
        <w:t>认定办法另行规定。</w:t>
      </w:r>
    </w:p>
    <w:p w14:paraId="218D1555">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s="Times New Roman"/>
          <w:sz w:val="32"/>
          <w:szCs w:val="32"/>
        </w:rPr>
      </w:pPr>
      <w:r>
        <w:rPr>
          <w:rFonts w:hint="eastAsia" w:ascii="黑体" w:hAnsi="黑体" w:eastAsia="黑体" w:cs="Times New Roman"/>
          <w:sz w:val="32"/>
          <w:szCs w:val="32"/>
        </w:rPr>
        <w:t>三、考试与成绩记载</w:t>
      </w:r>
    </w:p>
    <w:p w14:paraId="7CBC673A">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第九条</w:t>
      </w:r>
      <w:r>
        <w:rPr>
          <w:rFonts w:hint="eastAsia" w:ascii="仿宋_GB2312" w:hAnsi="仿宋" w:eastAsia="仿宋_GB2312" w:cs="Times New Roman"/>
          <w:sz w:val="32"/>
          <w:szCs w:val="32"/>
        </w:rPr>
        <w:t xml:space="preserve"> 学生应当参加学校各专业培养方案规定的课程学习、实习实践等各种教育教学环节（以下统称课程）的考试。考试成绩记入成绩单，并归入本人档案。</w:t>
      </w:r>
    </w:p>
    <w:p w14:paraId="251AB7E9">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第十条</w:t>
      </w:r>
      <w:r>
        <w:rPr>
          <w:rFonts w:hint="eastAsia" w:ascii="仿宋_GB2312" w:hAnsi="仿宋" w:eastAsia="仿宋_GB2312" w:cs="Times New Roman"/>
          <w:sz w:val="32"/>
          <w:szCs w:val="32"/>
        </w:rPr>
        <w:t xml:space="preserve"> 课程考试</w:t>
      </w:r>
    </w:p>
    <w:p w14:paraId="7B6DF29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（一）学生必须按规定时间参加专业培养方案规定的课程考试。成绩在及格及以上，方可获得相应课程学分；未参加课程考试或考试不合格者不能取得学分。</w:t>
      </w:r>
    </w:p>
    <w:p w14:paraId="33BB7C1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（二）除公共选修课外，考试不及格者，可补考一次。公共选修课不及格者，不安排补考和重修，学生必须重新选课。</w:t>
      </w:r>
    </w:p>
    <w:p w14:paraId="190EFC4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（三）学生不能按时参加培养方案规定的教学活动，应事先请假并获得批准。未经批准而缺席者，按旷课处理，旷课达到一定学时的学生，将给予相应的纪律处分。</w:t>
      </w:r>
    </w:p>
    <w:p w14:paraId="2687238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四）缺课累计超过某门课程教学时数三分之一者（包括病事假等），不得参加本课程的考试，必须重修。已参加考试的，成绩无效。课程考试资格由任课教师认定，取消考试资格的学生名单由学生所在二级学院审核并通报，同时报教务处备案。</w:t>
      </w:r>
    </w:p>
    <w:p w14:paraId="3BC08DC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（五）考试方式</w:t>
      </w:r>
      <w:r>
        <w:rPr>
          <w:rFonts w:hint="eastAsia" w:ascii="仿宋_GB2312" w:hAnsi="仿宋" w:eastAsia="仿宋_GB2312" w:cs="Times New Roman"/>
          <w:bCs/>
          <w:sz w:val="32"/>
          <w:szCs w:val="32"/>
        </w:rPr>
        <w:t>包括笔试（闭卷、开卷）、机试（闭卷、开卷）、口试、实践操作、撰写调查报告、论文、作品设计等。</w:t>
      </w:r>
      <w:r>
        <w:rPr>
          <w:rFonts w:hint="eastAsia" w:ascii="仿宋_GB2312" w:hAnsi="仿宋" w:eastAsia="仿宋_GB2312" w:cs="Times New Roman"/>
          <w:sz w:val="32"/>
          <w:szCs w:val="32"/>
        </w:rPr>
        <w:t>考试成绩可根据出勤、课内外作业、阶段考核、实训考核与期末考核等综合评定。</w:t>
      </w:r>
    </w:p>
    <w:p w14:paraId="646EEA5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六）获得考试资格的学生，必须按规定时间参加考试。确有特殊原因不能按时参加考试者，应由本人事先向所在二级学院提出缓考申请，经二级学院审核批准后方可缓考，同时报教务处备案。未办理缓考手续、缓考申请未获批准以及事后提出申请的，按无故旷考处理。旷考者标记“缺考”，并取消其补考资格，必须重修该门课程。</w:t>
      </w:r>
    </w:p>
    <w:p w14:paraId="55BB4F2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缓考课程的考试应与下学期开学初的补考同期进行，缓考按实际成绩记分。缓考课程考试不及格不予补考，必须重修该门课程。</w:t>
      </w:r>
    </w:p>
    <w:p w14:paraId="66A5868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（七）补考合格者，获得相应的学分，按实际成绩记载，标注“补考”字样。</w:t>
      </w:r>
    </w:p>
    <w:p w14:paraId="52554E3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（八）在课程考试过程中违反考试纪律或考试作弊者，按《北京青年政治学院考试管理规定》处理。被认定为违纪或作弊者，该门课程以“0”分记。</w:t>
      </w:r>
    </w:p>
    <w:p w14:paraId="34F17950">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第十一条</w:t>
      </w:r>
      <w:r>
        <w:rPr>
          <w:rFonts w:hint="eastAsia" w:ascii="仿宋_GB2312" w:hAnsi="仿宋" w:eastAsia="仿宋_GB2312" w:cs="Times New Roman"/>
          <w:sz w:val="32"/>
          <w:szCs w:val="32"/>
        </w:rPr>
        <w:t xml:space="preserve"> 重修</w:t>
      </w:r>
    </w:p>
    <w:p w14:paraId="40EF386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楷体_GB2312" w:hAnsi="楷体_GB2312" w:eastAsia="楷体_GB2312" w:cs="楷体_GB2312"/>
          <w:sz w:val="32"/>
          <w:szCs w:val="32"/>
        </w:rPr>
        <w:t>（一）重修范围</w:t>
      </w:r>
    </w:p>
    <w:p w14:paraId="410D041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Batang"/>
          <w:sz w:val="32"/>
          <w:szCs w:val="32"/>
        </w:rPr>
      </w:pPr>
      <w:r>
        <w:rPr>
          <w:rFonts w:hint="eastAsia" w:ascii="仿宋_GB2312" w:hAnsi="仿宋" w:eastAsia="仿宋_GB2312" w:cs="宋体"/>
          <w:sz w:val="32"/>
          <w:szCs w:val="32"/>
        </w:rPr>
        <w:t>补</w:t>
      </w:r>
      <w:r>
        <w:rPr>
          <w:rFonts w:hint="eastAsia" w:ascii="仿宋_GB2312" w:hAnsi="仿宋" w:eastAsia="仿宋_GB2312" w:cs="Batang"/>
          <w:sz w:val="32"/>
          <w:szCs w:val="32"/>
        </w:rPr>
        <w:t>考后</w:t>
      </w:r>
      <w:r>
        <w:rPr>
          <w:rFonts w:hint="eastAsia" w:ascii="仿宋_GB2312" w:hAnsi="仿宋" w:eastAsia="仿宋_GB2312" w:cs="Times New Roman"/>
          <w:sz w:val="32"/>
          <w:szCs w:val="32"/>
        </w:rPr>
        <w:t>不及格者；因</w:t>
      </w:r>
      <w:r>
        <w:rPr>
          <w:rFonts w:hint="eastAsia" w:ascii="仿宋_GB2312" w:hAnsi="仿宋" w:eastAsia="仿宋_GB2312" w:cs="Batang"/>
          <w:sz w:val="32"/>
          <w:szCs w:val="32"/>
        </w:rPr>
        <w:t>缺</w:t>
      </w:r>
      <w:r>
        <w:rPr>
          <w:rFonts w:hint="eastAsia" w:ascii="仿宋_GB2312" w:hAnsi="仿宋" w:eastAsia="仿宋_GB2312" w:cs="宋体"/>
          <w:sz w:val="32"/>
          <w:szCs w:val="32"/>
        </w:rPr>
        <w:t>课超过</w:t>
      </w:r>
      <w:r>
        <w:rPr>
          <w:rFonts w:hint="eastAsia" w:ascii="仿宋_GB2312" w:hAnsi="仿宋" w:eastAsia="仿宋_GB2312" w:cs="Times New Roman"/>
          <w:sz w:val="32"/>
          <w:szCs w:val="32"/>
        </w:rPr>
        <w:t>三分之一而被取消</w:t>
      </w:r>
      <w:r>
        <w:rPr>
          <w:rFonts w:hint="eastAsia" w:ascii="仿宋_GB2312" w:hAnsi="仿宋" w:eastAsia="仿宋_GB2312" w:cs="Batang"/>
          <w:sz w:val="32"/>
          <w:szCs w:val="32"/>
        </w:rPr>
        <w:t>考试</w:t>
      </w:r>
      <w:r>
        <w:rPr>
          <w:rFonts w:hint="eastAsia" w:ascii="仿宋_GB2312" w:hAnsi="仿宋" w:eastAsia="仿宋_GB2312" w:cs="宋体"/>
          <w:sz w:val="32"/>
          <w:szCs w:val="32"/>
        </w:rPr>
        <w:t>资</w:t>
      </w:r>
      <w:r>
        <w:rPr>
          <w:rFonts w:hint="eastAsia" w:ascii="仿宋_GB2312" w:hAnsi="仿宋" w:eastAsia="仿宋_GB2312" w:cs="Batang"/>
          <w:sz w:val="32"/>
          <w:szCs w:val="32"/>
        </w:rPr>
        <w:t>格者；</w:t>
      </w:r>
      <w:r>
        <w:rPr>
          <w:rFonts w:hint="eastAsia" w:ascii="仿宋_GB2312" w:hAnsi="仿宋" w:eastAsia="仿宋_GB2312" w:cs="宋体"/>
          <w:sz w:val="32"/>
          <w:szCs w:val="32"/>
        </w:rPr>
        <w:t>旷</w:t>
      </w:r>
      <w:r>
        <w:rPr>
          <w:rFonts w:hint="eastAsia" w:ascii="仿宋_GB2312" w:hAnsi="仿宋" w:eastAsia="仿宋_GB2312" w:cs="Batang"/>
          <w:sz w:val="32"/>
          <w:szCs w:val="32"/>
        </w:rPr>
        <w:t>考者；考试</w:t>
      </w:r>
      <w:r>
        <w:rPr>
          <w:rFonts w:hint="eastAsia" w:ascii="仿宋_GB2312" w:hAnsi="仿宋" w:eastAsia="仿宋_GB2312" w:cs="宋体"/>
          <w:sz w:val="32"/>
          <w:szCs w:val="32"/>
        </w:rPr>
        <w:t>违纪</w:t>
      </w:r>
      <w:r>
        <w:rPr>
          <w:rFonts w:hint="eastAsia" w:ascii="仿宋_GB2312" w:hAnsi="仿宋" w:eastAsia="仿宋_GB2312" w:cs="Batang"/>
          <w:sz w:val="32"/>
          <w:szCs w:val="32"/>
        </w:rPr>
        <w:t>或作弊者。</w:t>
      </w:r>
    </w:p>
    <w:p w14:paraId="5570DDC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Calibri" w:hAnsi="Calibri" w:eastAsia="仿宋_GB2312" w:cs="Calibri"/>
          <w:sz w:val="32"/>
          <w:szCs w:val="32"/>
        </w:rPr>
        <w:t>符合</w:t>
      </w:r>
      <w:r>
        <w:rPr>
          <w:rFonts w:hint="eastAsia" w:ascii="仿宋_GB2312" w:hAnsi="仿宋" w:eastAsia="仿宋_GB2312" w:cs="Batang"/>
          <w:sz w:val="32"/>
          <w:szCs w:val="32"/>
        </w:rPr>
        <w:t>上述几类情况的学生可申请重修。</w:t>
      </w:r>
    </w:p>
    <w:p w14:paraId="0E69B52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（二）重修方式</w:t>
      </w:r>
    </w:p>
    <w:p w14:paraId="28B24FF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Batang"/>
          <w:sz w:val="32"/>
          <w:szCs w:val="32"/>
        </w:rPr>
      </w:pPr>
      <w:r>
        <w:rPr>
          <w:rFonts w:hint="eastAsia" w:ascii="仿宋_GB2312" w:hAnsi="仿宋" w:eastAsia="仿宋_GB2312" w:cs="Batang"/>
          <w:sz w:val="32"/>
          <w:szCs w:val="32"/>
        </w:rPr>
        <w:t>重修一般应在下一学年的相应学期完成。学生可根据自己的学习时间和学校的教学安排，选择以下方式重修。</w:t>
      </w:r>
    </w:p>
    <w:p w14:paraId="552653D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Batang"/>
          <w:sz w:val="32"/>
          <w:szCs w:val="32"/>
        </w:rPr>
      </w:pPr>
      <w:r>
        <w:rPr>
          <w:rFonts w:hint="eastAsia" w:ascii="仿宋_GB2312" w:hAnsi="仿宋" w:eastAsia="仿宋_GB2312" w:cs="Batang"/>
          <w:sz w:val="32"/>
          <w:szCs w:val="32"/>
        </w:rPr>
        <w:t>1.组班重修</w:t>
      </w:r>
    </w:p>
    <w:p w14:paraId="4C8A422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Batang"/>
          <w:sz w:val="32"/>
          <w:szCs w:val="32"/>
        </w:rPr>
      </w:pPr>
      <w:r>
        <w:rPr>
          <w:rFonts w:hint="eastAsia" w:ascii="仿宋_GB2312" w:hAnsi="仿宋" w:eastAsia="仿宋_GB2312" w:cs="Batang"/>
          <w:sz w:val="32"/>
          <w:szCs w:val="32"/>
        </w:rPr>
        <w:t>重修人数达到一定规模（公共课20人，专业课15人），由开课单位负责组班重修，并编制重修方案与课表，报教务处备案。</w:t>
      </w:r>
    </w:p>
    <w:p w14:paraId="1A2D2B5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Batang"/>
          <w:sz w:val="32"/>
          <w:szCs w:val="32"/>
        </w:rPr>
      </w:pPr>
      <w:r>
        <w:rPr>
          <w:rFonts w:hint="eastAsia" w:ascii="仿宋_GB2312" w:hAnsi="仿宋" w:eastAsia="仿宋_GB2312" w:cs="Batang"/>
          <w:sz w:val="32"/>
          <w:szCs w:val="32"/>
        </w:rPr>
        <w:t>2.跟班重修</w:t>
      </w:r>
    </w:p>
    <w:p w14:paraId="6ED1EF5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Batang"/>
          <w:sz w:val="32"/>
          <w:szCs w:val="32"/>
        </w:rPr>
      </w:pPr>
      <w:r>
        <w:rPr>
          <w:rFonts w:hint="eastAsia" w:ascii="仿宋_GB2312" w:hAnsi="仿宋" w:eastAsia="仿宋_GB2312" w:cs="Batang"/>
          <w:sz w:val="32"/>
          <w:szCs w:val="32"/>
        </w:rPr>
        <w:t>因某门课程重修人数未达到单独组班的规定，学生应选择随下一年级的本专业同一课程或其它专业同层次课程的开课班级跟班重修。</w:t>
      </w:r>
    </w:p>
    <w:p w14:paraId="5C98EDA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Batang"/>
          <w:sz w:val="32"/>
          <w:szCs w:val="32"/>
        </w:rPr>
      </w:pPr>
      <w:r>
        <w:rPr>
          <w:rFonts w:hint="eastAsia" w:ascii="仿宋_GB2312" w:hAnsi="仿宋" w:eastAsia="仿宋_GB2312" w:cs="Batang"/>
          <w:sz w:val="32"/>
          <w:szCs w:val="32"/>
        </w:rPr>
        <w:t>3.自学重修</w:t>
      </w:r>
    </w:p>
    <w:p w14:paraId="01F9D5F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Batang"/>
          <w:sz w:val="32"/>
          <w:szCs w:val="32"/>
        </w:rPr>
      </w:pPr>
      <w:r>
        <w:rPr>
          <w:rFonts w:hint="eastAsia" w:ascii="仿宋_GB2312" w:hAnsi="仿宋" w:eastAsia="仿宋_GB2312" w:cs="Batang"/>
          <w:sz w:val="32"/>
          <w:szCs w:val="32"/>
        </w:rPr>
        <w:t>因重修课程与正常上课时间冲突或其他正当原因而不能跟班重修学习，学生可申请自学重修（集中实践环节课程除外）。确因某门课程因教学计划调整而导致下一年级不开设此课程，由开课单位制定自学重修方案。重修申请经开课单位审核批准后执行，同时报教务处备案。</w:t>
      </w:r>
    </w:p>
    <w:p w14:paraId="008A640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楷体_GB2312" w:hAnsi="楷体_GB2312" w:eastAsia="楷体_GB2312" w:cs="楷体_GB2312"/>
          <w:sz w:val="32"/>
          <w:szCs w:val="32"/>
        </w:rPr>
        <w:t>（三）重修申请</w:t>
      </w:r>
    </w:p>
    <w:p w14:paraId="4E40EDE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Batang"/>
          <w:sz w:val="32"/>
          <w:szCs w:val="32"/>
        </w:rPr>
      </w:pPr>
      <w:r>
        <w:rPr>
          <w:rFonts w:hint="eastAsia" w:ascii="仿宋_GB2312" w:hAnsi="仿宋" w:eastAsia="仿宋_GB2312" w:cs="Batang"/>
          <w:sz w:val="32"/>
          <w:szCs w:val="32"/>
        </w:rPr>
        <w:t>学生向所在二级学院提出重修申请，报二级学院审批，逾期不予办理。各二级学院根据学生申请情况安排重修，公共课重修由公共课开设部门负责。各二级学院要配合公共课部门做好重修工作。</w:t>
      </w:r>
    </w:p>
    <w:p w14:paraId="6BE35AD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hAnsi="楷体_GB2312" w:eastAsia="楷体_GB2312" w:cs="楷体_GB2312"/>
          <w:sz w:val="32"/>
          <w:szCs w:val="32"/>
        </w:rPr>
      </w:pPr>
      <w:r>
        <w:rPr>
          <w:rFonts w:hint="eastAsia" w:ascii="楷体_GB2312" w:hAnsi="楷体_GB2312" w:eastAsia="楷体_GB2312" w:cs="楷体_GB2312"/>
          <w:sz w:val="32"/>
          <w:szCs w:val="32"/>
        </w:rPr>
        <w:t>（四）考试与成绩记载</w:t>
      </w:r>
    </w:p>
    <w:p w14:paraId="713DFCA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跟班重修或自学重修的课程考试一般采取随下一年级同一课程班级跟班考试的方式，单独组班重修的课程考试由开课</w:t>
      </w:r>
      <w:r>
        <w:rPr>
          <w:rFonts w:hint="eastAsia" w:ascii="仿宋_GB2312" w:hAnsi="仿宋" w:eastAsia="仿宋_GB2312" w:cs="Batang"/>
          <w:sz w:val="32"/>
          <w:szCs w:val="32"/>
        </w:rPr>
        <w:t>单位</w:t>
      </w:r>
      <w:r>
        <w:rPr>
          <w:rFonts w:hint="eastAsia" w:ascii="仿宋_GB2312" w:hAnsi="仿宋" w:eastAsia="仿宋_GB2312" w:cs="Times New Roman"/>
          <w:sz w:val="32"/>
          <w:szCs w:val="32"/>
        </w:rPr>
        <w:t>负责组织实施。</w:t>
      </w:r>
    </w:p>
    <w:p w14:paraId="2EAA2D2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重修考试及格后，获得相应的学分，按实际成绩记载，标注“重修”字样。重修考试成绩仍未及格的，在规定学制内，可按本规定继续重修。</w:t>
      </w:r>
    </w:p>
    <w:p w14:paraId="611AD29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如重修课程的考试与其他课程考试冲突时，应首先参加正常课程考试，对重修课程的考试应申请缓考，并在开学初参加该门课程的补考。如仍未通过，应再次申请该门课程的重修，不再安排补考。</w:t>
      </w:r>
    </w:p>
    <w:p w14:paraId="46AE1033">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第十二条</w:t>
      </w:r>
      <w:r>
        <w:rPr>
          <w:rFonts w:hint="eastAsia" w:ascii="仿宋_GB2312" w:hAnsi="仿宋" w:eastAsia="仿宋_GB2312" w:cs="Times New Roman"/>
          <w:sz w:val="32"/>
          <w:szCs w:val="32"/>
        </w:rPr>
        <w:t xml:space="preserve"> 免修</w:t>
      </w:r>
    </w:p>
    <w:p w14:paraId="17FC17F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学生对专业培养方案规定的课程，通过各种途径学习已经达到课程考试要求者，可以申请免修，但原则上不可免考。申请课程免修者应填写《免修课程申请表》，并按时参加该门课程的正常考试；考试通过方可取得相应学分。</w:t>
      </w:r>
    </w:p>
    <w:p w14:paraId="5D0484F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Times New Roman"/>
          <w:sz w:val="32"/>
          <w:szCs w:val="32"/>
        </w:rPr>
      </w:pPr>
      <w:r>
        <w:rPr>
          <w:rFonts w:hint="eastAsia" w:ascii="仿宋_GB2312" w:hAnsi="仿宋" w:eastAsia="仿宋_GB2312" w:cs="Times New Roman"/>
          <w:sz w:val="32"/>
          <w:szCs w:val="32"/>
        </w:rPr>
        <w:t>因复学、转专业等原因申请课程免修者应填写《免修课程申请表》，按原考试成绩登录。</w:t>
      </w:r>
    </w:p>
    <w:p w14:paraId="165B7676">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s="Times New Roman"/>
          <w:sz w:val="32"/>
          <w:szCs w:val="32"/>
        </w:rPr>
      </w:pPr>
      <w:r>
        <w:rPr>
          <w:rFonts w:hint="eastAsia" w:ascii="黑体" w:hAnsi="黑体" w:eastAsia="黑体" w:cs="Times New Roman"/>
          <w:sz w:val="32"/>
          <w:szCs w:val="32"/>
        </w:rPr>
        <w:t>四、转专业与转学</w:t>
      </w:r>
    </w:p>
    <w:p w14:paraId="7410E8F8">
      <w:pPr>
        <w:keepNext w:val="0"/>
        <w:keepLines w:val="0"/>
        <w:pageBreakBefore w:val="0"/>
        <w:kinsoku/>
        <w:wordWrap/>
        <w:overflowPunct/>
        <w:topLinePunct w:val="0"/>
        <w:autoSpaceDE/>
        <w:autoSpaceDN/>
        <w:bidi w:val="0"/>
        <w:adjustRightInd/>
        <w:snapToGrid/>
        <w:spacing w:line="560" w:lineRule="exact"/>
        <w:ind w:firstLine="643" w:firstLineChars="200"/>
        <w:jc w:val="left"/>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第十三条</w:t>
      </w:r>
      <w:r>
        <w:rPr>
          <w:rFonts w:hint="eastAsia" w:ascii="仿宋_GB2312" w:hAnsi="仿宋" w:eastAsia="仿宋_GB2312" w:cs="Times New Roman"/>
          <w:sz w:val="32"/>
          <w:szCs w:val="32"/>
        </w:rPr>
        <w:t xml:space="preserve"> 学生在学习期间对其他专业有兴趣和专长的，可以申请转专业。转专业由学生本人申请，并提供相关证明材料（如市级及以上获奖证书、作品等），由所在二级学院推荐，拟转入二级学院考核同意，学校批准后，对转专业情况进行公示，公示期满无异议的，可以转专业。</w:t>
      </w:r>
    </w:p>
    <w:p w14:paraId="29F363E9">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第十四条</w:t>
      </w:r>
      <w:r>
        <w:rPr>
          <w:rFonts w:hint="eastAsia" w:ascii="仿宋_GB2312" w:hAnsi="仿宋" w:eastAsia="仿宋_GB2312" w:cs="Times New Roman"/>
          <w:sz w:val="32"/>
          <w:szCs w:val="32"/>
        </w:rPr>
        <w:t xml:space="preserve"> 转专业学生应按以下程序办理：就读第一学期期末提出书面申请，填写《转专业申请表》。原则上应获得学生家长（监护人）签字同意，经学生所在二级学院审查并写出推荐意见，报拟转入二级学院考核并提出接收意见，由学生所在二级学院将相关材料报教务处审议，经院领导批准后，下一学期转入新专业就读。</w:t>
      </w:r>
    </w:p>
    <w:p w14:paraId="77E5B7C1">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宋体"/>
          <w:sz w:val="24"/>
          <w:szCs w:val="24"/>
        </w:rPr>
      </w:pPr>
      <w:r>
        <w:rPr>
          <w:rFonts w:hint="eastAsia" w:ascii="仿宋_GB2312" w:hAnsi="仿宋" w:eastAsia="仿宋_GB2312" w:cs="Times New Roman"/>
          <w:b/>
          <w:sz w:val="32"/>
          <w:szCs w:val="32"/>
        </w:rPr>
        <w:t>第十五条</w:t>
      </w:r>
      <w:r>
        <w:rPr>
          <w:rFonts w:hint="eastAsia" w:ascii="仿宋_GB2312" w:hAnsi="仿宋" w:eastAsia="仿宋_GB2312" w:cs="Times New Roman"/>
          <w:sz w:val="32"/>
          <w:szCs w:val="32"/>
        </w:rPr>
        <w:t xml:space="preserve"> 有下列情况之一者，不予转专业：</w:t>
      </w:r>
    </w:p>
    <w:p w14:paraId="5012355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（一）入学未满一学期或者毕业前一年的；</w:t>
      </w:r>
    </w:p>
    <w:p w14:paraId="7C46DFE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（二）高考成绩低于拟转入专业同一生源地相应年份录取成绩的；</w:t>
      </w:r>
    </w:p>
    <w:p w14:paraId="17F2F5C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（三）以特殊招生形式录取的；</w:t>
      </w:r>
    </w:p>
    <w:p w14:paraId="752C71B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（四）国家有相关限制规定或录取前与学校有明确约定的；</w:t>
      </w:r>
    </w:p>
    <w:p w14:paraId="5F2871D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（五）无正当转专业理由的。</w:t>
      </w:r>
    </w:p>
    <w:p w14:paraId="3BA33DA4">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第十六条</w:t>
      </w:r>
      <w:r>
        <w:rPr>
          <w:rFonts w:hint="eastAsia" w:ascii="仿宋_GB2312" w:hAnsi="仿宋" w:eastAsia="仿宋_GB2312" w:cs="Times New Roman"/>
          <w:sz w:val="32"/>
          <w:szCs w:val="32"/>
        </w:rPr>
        <w:t xml:space="preserve"> 学生一般应当在被录取学校完成学业。因患病或者有特殊困难、特别需要，无法继续在本校学习或者不适应本校学习要求的，可以申请转学。</w:t>
      </w:r>
    </w:p>
    <w:p w14:paraId="140DEB6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第十七条</w:t>
      </w:r>
      <w:r>
        <w:rPr>
          <w:rFonts w:hint="eastAsia" w:ascii="仿宋_GB2312" w:hAnsi="仿宋" w:eastAsia="仿宋_GB2312" w:cs="Times New Roman"/>
          <w:sz w:val="32"/>
          <w:szCs w:val="32"/>
        </w:rPr>
        <w:t xml:space="preserve"> 学生转学，需经转入与转出两校同意，由转入学校负责审核转学条件及相关证明，认为符合本校培养要求且学校有能力培养的，经学校校长办公会或者专题会议研究决定，可以转入；跨省市转学者由转出地省级教育行政部门会商转入地省级教育行政部门，转学条件确认后办理转学手续。</w:t>
      </w:r>
    </w:p>
    <w:p w14:paraId="1EE8D93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生源地为京外的学生申请转出或转入本校，应符合国家及北京市的有关政策规定。</w:t>
      </w:r>
    </w:p>
    <w:p w14:paraId="1285ED6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学生需提交的转学材料清单如下：</w:t>
      </w:r>
    </w:p>
    <w:p w14:paraId="28F8062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华文中宋" w:eastAsia="仿宋_GB2312" w:cs="仿宋_GB2312"/>
          <w:sz w:val="32"/>
          <w:szCs w:val="32"/>
        </w:rPr>
      </w:pPr>
      <w:r>
        <w:rPr>
          <w:rFonts w:hint="eastAsia" w:ascii="仿宋_GB2312" w:hAnsi="华文中宋" w:eastAsia="仿宋_GB2312" w:cs="仿宋_GB2312"/>
          <w:sz w:val="32"/>
          <w:szCs w:val="32"/>
        </w:rPr>
        <w:t>（一）学生转学申请；</w:t>
      </w:r>
    </w:p>
    <w:p w14:paraId="1047001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华文中宋" w:eastAsia="仿宋_GB2312" w:cs="仿宋_GB2312"/>
          <w:sz w:val="32"/>
          <w:szCs w:val="32"/>
        </w:rPr>
      </w:pPr>
      <w:r>
        <w:rPr>
          <w:rFonts w:hint="eastAsia" w:ascii="仿宋_GB2312" w:hAnsi="华文中宋" w:eastAsia="仿宋_GB2312" w:cs="仿宋_GB2312"/>
          <w:sz w:val="32"/>
          <w:szCs w:val="32"/>
        </w:rPr>
        <w:t>（二）高等学校学生转学申请（确认）表（转出学校、转入学校、转出省、市、自治区教育行政部门签署意见）；</w:t>
      </w:r>
    </w:p>
    <w:p w14:paraId="37BFB32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华文中宋" w:eastAsia="仿宋_GB2312" w:cs="仿宋_GB2312"/>
          <w:sz w:val="32"/>
          <w:szCs w:val="32"/>
        </w:rPr>
      </w:pPr>
      <w:r>
        <w:rPr>
          <w:rFonts w:hint="eastAsia" w:ascii="仿宋_GB2312" w:hAnsi="华文中宋" w:eastAsia="仿宋_GB2312" w:cs="仿宋_GB2312"/>
          <w:sz w:val="32"/>
          <w:szCs w:val="32"/>
        </w:rPr>
        <w:t>（三）普通高等学校录取新生名册复印件（在转学学生姓名处加盖学校招生部门或学籍管理部门印章）；</w:t>
      </w:r>
    </w:p>
    <w:p w14:paraId="03F1611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华文中宋" w:eastAsia="仿宋_GB2312" w:cs="仿宋_GB2312"/>
          <w:sz w:val="32"/>
          <w:szCs w:val="32"/>
        </w:rPr>
      </w:pPr>
      <w:r>
        <w:rPr>
          <w:rFonts w:hint="eastAsia" w:ascii="仿宋_GB2312" w:hAnsi="华文中宋" w:eastAsia="仿宋_GB2312" w:cs="仿宋_GB2312"/>
          <w:sz w:val="32"/>
          <w:szCs w:val="32"/>
        </w:rPr>
        <w:t>（四）转学学生在校成绩单；</w:t>
      </w:r>
    </w:p>
    <w:p w14:paraId="7BCDB1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华文中宋" w:eastAsia="仿宋_GB2312" w:cs="仿宋_GB2312"/>
          <w:sz w:val="32"/>
          <w:szCs w:val="32"/>
        </w:rPr>
      </w:pPr>
      <w:r>
        <w:rPr>
          <w:rFonts w:hint="eastAsia" w:ascii="仿宋_GB2312" w:hAnsi="华文中宋" w:eastAsia="仿宋_GB2312" w:cs="仿宋_GB2312"/>
          <w:sz w:val="32"/>
          <w:szCs w:val="32"/>
        </w:rPr>
        <w:t>（五）转出学校对转学学生相关信息公示的情况说明；</w:t>
      </w:r>
    </w:p>
    <w:p w14:paraId="7F849FD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华文中宋" w:eastAsia="仿宋_GB2312" w:cs="仿宋_GB2312"/>
          <w:sz w:val="32"/>
          <w:szCs w:val="32"/>
        </w:rPr>
      </w:pPr>
      <w:r>
        <w:rPr>
          <w:rFonts w:hint="eastAsia" w:ascii="仿宋_GB2312" w:hAnsi="华文中宋" w:eastAsia="仿宋_GB2312" w:cs="仿宋_GB2312"/>
          <w:sz w:val="32"/>
          <w:szCs w:val="32"/>
        </w:rPr>
        <w:t>（六）因病申请转学需提交转入学校认可的医疗机构开具的证明材料；</w:t>
      </w:r>
    </w:p>
    <w:p w14:paraId="6035B35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华文中宋" w:eastAsia="仿宋_GB2312" w:cs="仿宋_GB2312"/>
          <w:sz w:val="32"/>
          <w:szCs w:val="32"/>
        </w:rPr>
      </w:pPr>
      <w:r>
        <w:rPr>
          <w:rFonts w:hint="eastAsia" w:ascii="仿宋_GB2312" w:hAnsi="华文中宋" w:eastAsia="仿宋_GB2312" w:cs="仿宋_GB2312"/>
          <w:sz w:val="32"/>
          <w:szCs w:val="32"/>
        </w:rPr>
        <w:t>（七）其他相关证明材料。</w:t>
      </w:r>
    </w:p>
    <w:p w14:paraId="78DA22C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bookmarkStart w:id="0" w:name="OLE_LINK4"/>
      <w:bookmarkStart w:id="1" w:name="OLE_LINK3"/>
      <w:r>
        <w:rPr>
          <w:rFonts w:hint="eastAsia" w:ascii="仿宋_GB2312" w:hAnsi="仿宋" w:eastAsia="仿宋_GB2312" w:cs="Times New Roman"/>
          <w:sz w:val="32"/>
          <w:szCs w:val="32"/>
        </w:rPr>
        <w:t>学校对转学情况进行公示</w:t>
      </w:r>
      <w:bookmarkEnd w:id="0"/>
      <w:bookmarkEnd w:id="1"/>
      <w:r>
        <w:rPr>
          <w:rFonts w:hint="eastAsia" w:ascii="仿宋_GB2312" w:hAnsi="仿宋" w:eastAsia="仿宋_GB2312" w:cs="Times New Roman"/>
          <w:sz w:val="32"/>
          <w:szCs w:val="32"/>
        </w:rPr>
        <w:t>，并在转学完成后3个月内，报北京市教育委员会备案。</w:t>
      </w:r>
    </w:p>
    <w:p w14:paraId="69F31B19">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宋体"/>
          <w:sz w:val="24"/>
          <w:szCs w:val="24"/>
        </w:rPr>
      </w:pPr>
      <w:r>
        <w:rPr>
          <w:rFonts w:hint="eastAsia" w:ascii="仿宋_GB2312" w:hAnsi="仿宋" w:eastAsia="仿宋_GB2312" w:cs="Times New Roman"/>
          <w:b/>
          <w:sz w:val="32"/>
          <w:szCs w:val="32"/>
        </w:rPr>
        <w:t>第十八条</w:t>
      </w:r>
      <w:r>
        <w:rPr>
          <w:rFonts w:hint="eastAsia" w:ascii="仿宋_GB2312" w:hAnsi="仿宋" w:eastAsia="仿宋_GB2312" w:cs="Times New Roman"/>
          <w:sz w:val="32"/>
          <w:szCs w:val="32"/>
        </w:rPr>
        <w:t xml:space="preserve"> 有下列情况之一者，不予转学：</w:t>
      </w:r>
    </w:p>
    <w:p w14:paraId="1AF9AC9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（一）入学未满一学期或者毕业前一年的；</w:t>
      </w:r>
    </w:p>
    <w:p w14:paraId="1EBAE14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（二）高考成绩低于拟转入学校相关专业同一生源地相应年份录取成绩的；</w:t>
      </w:r>
    </w:p>
    <w:p w14:paraId="567A1C2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（三）由低学历层次转为高学历层次的；</w:t>
      </w:r>
    </w:p>
    <w:p w14:paraId="7254BE6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b/>
          <w:bCs/>
          <w:sz w:val="32"/>
          <w:szCs w:val="32"/>
        </w:rPr>
      </w:pPr>
      <w:r>
        <w:rPr>
          <w:rFonts w:hint="eastAsia" w:ascii="仿宋_GB2312" w:hAnsi="仿宋" w:eastAsia="仿宋_GB2312" w:cs="Times New Roman"/>
          <w:sz w:val="32"/>
          <w:szCs w:val="32"/>
        </w:rPr>
        <w:t>（四）以定向就业招生录取的；</w:t>
      </w:r>
    </w:p>
    <w:p w14:paraId="6A433DC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（五）无正当转学理由的。</w:t>
      </w:r>
    </w:p>
    <w:p w14:paraId="6511F63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Times New Roman"/>
          <w:sz w:val="32"/>
          <w:szCs w:val="32"/>
        </w:rPr>
      </w:pPr>
    </w:p>
    <w:p w14:paraId="7A184CC1">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s="Times New Roman"/>
          <w:sz w:val="32"/>
          <w:szCs w:val="32"/>
        </w:rPr>
      </w:pPr>
      <w:r>
        <w:rPr>
          <w:rFonts w:hint="eastAsia" w:ascii="黑体" w:hAnsi="黑体" w:eastAsia="黑体" w:cs="Times New Roman"/>
          <w:sz w:val="32"/>
          <w:szCs w:val="32"/>
        </w:rPr>
        <w:t>五、休学与复学</w:t>
      </w:r>
    </w:p>
    <w:p w14:paraId="714750B6">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第十九条</w:t>
      </w:r>
      <w:r>
        <w:rPr>
          <w:rFonts w:hint="eastAsia" w:ascii="仿宋_GB2312" w:hAnsi="仿宋" w:eastAsia="仿宋_GB2312" w:cs="Times New Roman"/>
          <w:sz w:val="32"/>
          <w:szCs w:val="32"/>
        </w:rPr>
        <w:t xml:space="preserve"> 具有下列情况之一者，应予休学：</w:t>
      </w:r>
    </w:p>
    <w:p w14:paraId="77020B2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（一）因伤病经学校指定医院诊断，须停课治疗、休养时间超过学期总学时三分之一及以上者；</w:t>
      </w:r>
    </w:p>
    <w:p w14:paraId="03522D0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（二）根据考勤，一学期因病、因事请假缺课超过该学期总学时三分之一者；</w:t>
      </w:r>
    </w:p>
    <w:p w14:paraId="3A8C1AC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（三）已婚女学生因生育需要者；</w:t>
      </w:r>
    </w:p>
    <w:p w14:paraId="71ECEBD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（四）因创新创业申请休学者；</w:t>
      </w:r>
    </w:p>
    <w:p w14:paraId="2B1FE54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（五）应征参加中国人民解放军（含中国人民武装警察部队）者；</w:t>
      </w:r>
    </w:p>
    <w:p w14:paraId="345D50C0">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（六）在规定的弹性学限内，因某种特殊原因，本人申请或学校认为应当休学者。</w:t>
      </w:r>
    </w:p>
    <w:p w14:paraId="2BC5E7A2">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第二十条</w:t>
      </w:r>
      <w:r>
        <w:rPr>
          <w:rFonts w:hint="eastAsia" w:ascii="仿宋_GB2312" w:hAnsi="仿宋" w:eastAsia="仿宋_GB2312" w:cs="Times New Roman"/>
          <w:sz w:val="32"/>
          <w:szCs w:val="32"/>
        </w:rPr>
        <w:t xml:space="preserve"> 休学学生须填写《休学审批表》，经二级学院同意，报教务处审批。由于身体原因休学须交验医院证明，其它原因申请休学，须交验必要的证明。</w:t>
      </w:r>
    </w:p>
    <w:p w14:paraId="65EB7267">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第二十一条</w:t>
      </w:r>
      <w:r>
        <w:rPr>
          <w:rFonts w:hint="eastAsia" w:ascii="仿宋_GB2312" w:hAnsi="仿宋" w:eastAsia="仿宋_GB2312" w:cs="Times New Roman"/>
          <w:sz w:val="32"/>
          <w:szCs w:val="32"/>
        </w:rPr>
        <w:t xml:space="preserve"> 学生休学期间，学校为其保留学籍，但不享受在校生的待遇。</w:t>
      </w:r>
    </w:p>
    <w:p w14:paraId="2C78E6D1">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第二十二条</w:t>
      </w:r>
      <w:r>
        <w:rPr>
          <w:rFonts w:hint="eastAsia" w:ascii="仿宋_GB2312" w:hAnsi="仿宋" w:eastAsia="仿宋_GB2312" w:cs="Times New Roman"/>
          <w:sz w:val="32"/>
          <w:szCs w:val="32"/>
        </w:rPr>
        <w:t xml:space="preserve"> 学生休学以一年为期，累计不得超过两年。超过两年者，按退学处理。</w:t>
      </w:r>
    </w:p>
    <w:p w14:paraId="0CE5D51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学期结束前申请休学未参加期末考试者，该学期按休学计算。</w:t>
      </w:r>
    </w:p>
    <w:p w14:paraId="06CA0C8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学生应征参加中国人民解放军（含中国人民武装警察部队），在校生离校前应办理保留学籍手续，新生入伍应办理保留入学资格手续，保留其入学资格或者学籍至退役后2年。</w:t>
      </w:r>
    </w:p>
    <w:p w14:paraId="0F2A1A8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学生因创新创业休学，可申请保留学籍2年，并应提前办理休学手续。</w:t>
      </w:r>
    </w:p>
    <w:p w14:paraId="0A17AC83">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 xml:space="preserve">第二十三条 </w:t>
      </w:r>
      <w:r>
        <w:rPr>
          <w:rFonts w:hint="eastAsia" w:ascii="仿宋_GB2312" w:hAnsi="仿宋" w:eastAsia="仿宋_GB2312" w:cs="Times New Roman"/>
          <w:sz w:val="32"/>
          <w:szCs w:val="32"/>
        </w:rPr>
        <w:t>学生保留学籍期间，与其实际所在的部队、学校等组织建立管理关系。</w:t>
      </w:r>
    </w:p>
    <w:p w14:paraId="666959A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学生在保留入学资格期间，如报考其他高校，视为放弃入学资格。</w:t>
      </w:r>
    </w:p>
    <w:p w14:paraId="747C983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学生在保留学籍期间，如要报考其他高校，应办理退学手续，否则按退学处理。</w:t>
      </w:r>
    </w:p>
    <w:p w14:paraId="4EA83902">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第二十四条</w:t>
      </w:r>
      <w:r>
        <w:rPr>
          <w:rFonts w:hint="eastAsia" w:ascii="仿宋_GB2312" w:hAnsi="仿宋" w:eastAsia="仿宋_GB2312" w:cs="Times New Roman"/>
          <w:sz w:val="32"/>
          <w:szCs w:val="32"/>
        </w:rPr>
        <w:t xml:space="preserve"> 复学</w:t>
      </w:r>
    </w:p>
    <w:p w14:paraId="04CF943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（一）学生休学期满申请复学，应于学期开学前两周向学校提交复学申请，经审查合格，方可复学；</w:t>
      </w:r>
    </w:p>
    <w:p w14:paraId="4D3EC29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（二）因伤病休学的学生，申请复学时必须出示二级甲等以上医院证明，并经学校医务室或指定医院复查合格，方可复学；</w:t>
      </w:r>
    </w:p>
    <w:p w14:paraId="42488F9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（三）休学期间，如有违法乱纪行为，取消复学资格，予以退学处理；</w:t>
      </w:r>
    </w:p>
    <w:p w14:paraId="6972A3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 w:hAnsi="仿宋" w:eastAsia="仿宋" w:cs="Times New Roman"/>
          <w:sz w:val="32"/>
          <w:szCs w:val="32"/>
        </w:rPr>
      </w:pPr>
      <w:r>
        <w:rPr>
          <w:rFonts w:hint="eastAsia" w:ascii="仿宋_GB2312" w:hAnsi="仿宋" w:eastAsia="仿宋_GB2312" w:cs="Times New Roman"/>
          <w:sz w:val="32"/>
          <w:szCs w:val="32"/>
        </w:rPr>
        <w:t>（四）休学学生复学后均应降级编入原专业，如无原专业，编入相近专业。</w:t>
      </w:r>
    </w:p>
    <w:p w14:paraId="3D084E3F">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s="Times New Roman"/>
          <w:sz w:val="32"/>
          <w:szCs w:val="32"/>
        </w:rPr>
      </w:pPr>
      <w:r>
        <w:rPr>
          <w:rFonts w:hint="eastAsia" w:ascii="黑体" w:hAnsi="黑体" w:eastAsia="黑体" w:cs="Times New Roman"/>
          <w:sz w:val="32"/>
          <w:szCs w:val="32"/>
        </w:rPr>
        <w:t>六、退学或</w:t>
      </w:r>
      <w:r>
        <w:rPr>
          <w:rFonts w:ascii="黑体" w:hAnsi="黑体" w:eastAsia="黑体" w:cs="Times New Roman"/>
          <w:sz w:val="32"/>
          <w:szCs w:val="32"/>
        </w:rPr>
        <w:t>开除学籍</w:t>
      </w:r>
      <w:r>
        <w:rPr>
          <w:rFonts w:hint="eastAsia" w:ascii="黑体" w:hAnsi="黑体" w:eastAsia="黑体" w:cs="Times New Roman"/>
          <w:sz w:val="32"/>
          <w:szCs w:val="32"/>
        </w:rPr>
        <w:t xml:space="preserve"> </w:t>
      </w:r>
    </w:p>
    <w:p w14:paraId="43275B1E">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第二十五条</w:t>
      </w:r>
      <w:r>
        <w:rPr>
          <w:rFonts w:hint="eastAsia" w:ascii="仿宋_GB2312" w:hAnsi="仿宋" w:eastAsia="仿宋_GB2312" w:cs="Times New Roman"/>
          <w:sz w:val="32"/>
          <w:szCs w:val="32"/>
        </w:rPr>
        <w:t xml:space="preserve"> 学生有下列情形之一，应予退学：</w:t>
      </w:r>
    </w:p>
    <w:p w14:paraId="57B677A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（一）在校时间（含休学）修业年限超过规定年限未完成学业的；</w:t>
      </w:r>
    </w:p>
    <w:p w14:paraId="0F2E24D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（二）休学、保留学籍期满，在学校规定期限内未提出复学申请或者申请复学经复查不合格的；</w:t>
      </w:r>
    </w:p>
    <w:p w14:paraId="6263661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（三）根据学校指定医院诊断，患有疾病或意外伤残无法继续在校学习的；</w:t>
      </w:r>
    </w:p>
    <w:p w14:paraId="16D38D3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（四）未经批准连续两周未参加学校规定的教学活动的；</w:t>
      </w:r>
    </w:p>
    <w:p w14:paraId="58E7CE1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（五）超过两周未注册而又未履行暂缓注册手续的；</w:t>
      </w:r>
    </w:p>
    <w:p w14:paraId="0C63EAF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（六）本人申请退学的；</w:t>
      </w:r>
    </w:p>
    <w:p w14:paraId="4A95D25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（七）其他特殊原因。</w:t>
      </w:r>
    </w:p>
    <w:p w14:paraId="16C1E1B0">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 w:eastAsia="仿宋_GB2312" w:cs="Times New Roman"/>
          <w:sz w:val="32"/>
          <w:szCs w:val="32"/>
          <w:lang w:eastAsia="zh-CN"/>
        </w:rPr>
      </w:pPr>
      <w:r>
        <w:rPr>
          <w:rFonts w:hint="eastAsia" w:ascii="仿宋_GB2312" w:hAnsi="仿宋" w:eastAsia="仿宋_GB2312" w:cs="Times New Roman"/>
          <w:b/>
          <w:sz w:val="32"/>
          <w:szCs w:val="32"/>
        </w:rPr>
        <w:t>第二十六条</w:t>
      </w:r>
      <w:r>
        <w:rPr>
          <w:rFonts w:hint="eastAsia" w:ascii="仿宋_GB2312" w:hAnsi="仿宋" w:eastAsia="仿宋_GB2312" w:cs="Times New Roman"/>
          <w:sz w:val="32"/>
          <w:szCs w:val="32"/>
        </w:rPr>
        <w:t xml:space="preserve"> 学生本人申请退学的，填写《退学审批表》，经学生所在二级学院审查，报教务处审核，经校长办公会批准后执行</w:t>
      </w:r>
      <w:r>
        <w:rPr>
          <w:rFonts w:hint="eastAsia" w:ascii="仿宋_GB2312" w:hAnsi="仿宋" w:eastAsia="仿宋_GB2312" w:cs="Times New Roman"/>
          <w:sz w:val="32"/>
          <w:szCs w:val="32"/>
          <w:lang w:eastAsia="zh-CN"/>
        </w:rPr>
        <w:t>。</w:t>
      </w:r>
    </w:p>
    <w:p w14:paraId="6D3DFD68">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bCs/>
          <w:sz w:val="32"/>
          <w:szCs w:val="32"/>
        </w:rPr>
        <w:t>第二十七条</w:t>
      </w:r>
      <w:r>
        <w:rPr>
          <w:rFonts w:hint="eastAsia" w:ascii="仿宋_GB2312" w:hAnsi="仿宋" w:eastAsia="仿宋_GB2312" w:cs="Times New Roman"/>
          <w:sz w:val="32"/>
          <w:szCs w:val="32"/>
        </w:rPr>
        <w:t xml:space="preserve"> 对学生予以退学处理的，需由学生所在二级学院提出处理意见，并将拟退学处理决定报教务处进行合法合规性审查，审查无异议后，二级学院将拟退学处理决定送达学生本人。其中，应当告知学生作出决定的事实、理由及依据，并告知学生享有陈述和申辩的权利，听取学生的陈述和申辩。</w:t>
      </w:r>
    </w:p>
    <w:p w14:paraId="63677E85">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bCs/>
          <w:sz w:val="32"/>
          <w:szCs w:val="32"/>
        </w:rPr>
      </w:pPr>
      <w:r>
        <w:rPr>
          <w:rFonts w:hint="eastAsia" w:ascii="仿宋_GB2312" w:hAnsi="仿宋" w:eastAsia="仿宋_GB2312" w:cs="Times New Roman"/>
          <w:bCs/>
          <w:sz w:val="32"/>
          <w:szCs w:val="32"/>
        </w:rPr>
        <w:t>学生应在收到二级学院开具的拟退学处理决定之日起5个工作日内，向二级学院提出书面陈述和申辩，逾期未提出书面陈述和申辩的，视为放弃陈述和申辩，不得再提出陈述和申辩要求。</w:t>
      </w:r>
    </w:p>
    <w:p w14:paraId="7CA192E9">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bCs/>
          <w:sz w:val="32"/>
          <w:szCs w:val="32"/>
        </w:rPr>
        <w:t>第二十八条</w:t>
      </w:r>
      <w:r>
        <w:rPr>
          <w:rFonts w:hint="eastAsia" w:ascii="仿宋_GB2312" w:hAnsi="仿宋" w:eastAsia="仿宋_GB2312" w:cs="Times New Roman"/>
          <w:sz w:val="32"/>
          <w:szCs w:val="32"/>
        </w:rPr>
        <w:t xml:space="preserve"> 对拟退学处理无异议的，由二级学院出具退学处理决定，报教务处审核，经学校法律事务部门合法性审查后提请校长办公会审议。</w:t>
      </w:r>
    </w:p>
    <w:p w14:paraId="5D6F591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经校长办公会批准后</w:t>
      </w:r>
      <w:r>
        <w:rPr>
          <w:rFonts w:hint="eastAsia" w:ascii="Times New Roman" w:hAnsi="Times New Roman" w:eastAsia="宋体" w:cs="Times New Roman"/>
          <w:szCs w:val="24"/>
        </w:rPr>
        <w:t>，</w:t>
      </w:r>
      <w:r>
        <w:rPr>
          <w:rFonts w:hint="eastAsia" w:ascii="仿宋_GB2312" w:hAnsi="仿宋" w:eastAsia="仿宋_GB2312" w:cs="Times New Roman"/>
          <w:sz w:val="32"/>
          <w:szCs w:val="32"/>
        </w:rPr>
        <w:t>由学校出具退学决定书，并由二级学院送达本人。学生对退学处理有异议的，</w:t>
      </w:r>
      <w:r>
        <w:rPr>
          <w:rFonts w:hint="eastAsia" w:ascii="仿宋_GB2312" w:hAnsi="仿宋_GB2312" w:eastAsia="仿宋_GB2312" w:cs="仿宋_GB2312"/>
          <w:sz w:val="32"/>
          <w:szCs w:val="32"/>
        </w:rPr>
        <w:t>可以在接到学校处理或者处分决定书之日起10日内，向学校学生申诉处理委员会提出书面申诉，逾期不予受理。</w:t>
      </w:r>
      <w:r>
        <w:rPr>
          <w:rFonts w:hint="eastAsia" w:ascii="仿宋_GB2312" w:hAnsi="仿宋" w:eastAsia="仿宋_GB2312" w:cs="Times New Roman"/>
          <w:sz w:val="32"/>
          <w:szCs w:val="32"/>
        </w:rPr>
        <w:t>无异议的，学校报北京市教育委员会备案。</w:t>
      </w:r>
    </w:p>
    <w:p w14:paraId="39454CCF">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第二十九条</w:t>
      </w:r>
      <w:r>
        <w:rPr>
          <w:rFonts w:hint="eastAsia" w:ascii="仿宋_GB2312" w:hAnsi="仿宋" w:eastAsia="仿宋_GB2312" w:cs="Times New Roman"/>
          <w:sz w:val="32"/>
          <w:szCs w:val="32"/>
        </w:rPr>
        <w:t xml:space="preserve"> 退学决定书可直接送达，经学生同意，也可采取手机短信、微信、电子邮件等方式电子送达。</w:t>
      </w:r>
    </w:p>
    <w:p w14:paraId="2C04397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直接送达退学决定书有困难的，可采取以下方式送达：</w:t>
      </w:r>
    </w:p>
    <w:p w14:paraId="5A7DE7D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一）留置送达。将退学决定书直接送达给应予退学学生时，如本人不在，可交其同住成年家属签收。学生或者其同住成年亲属拒绝签收决定书时，送达人应当邀请有关人员到场，说明情况，在送达回证上记明拒收事由和日期，由送达人、见证人签名或者盖章；把决定书留在当事人的住所或者收发部门，即视为送达。</w:t>
      </w:r>
    </w:p>
    <w:p w14:paraId="7DA8AFF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二）邮寄送达。通过邮局用挂号方式邮寄给应予退学学生。邮寄送达应附有送达回证。挂号信回执上注明的收件日期与送达回证上注明的收件日期不一致的，或者送达回证没有寄回的，以挂号信回执上的收件日期为送达日期。</w:t>
      </w:r>
    </w:p>
    <w:p w14:paraId="0A3DF08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（三）公告送达。应予退学学生下落不明，或者通过其它方式无法送达的，利用学校公告栏等以公告方式送达。自公告发出之日起，经过5个工作日，即视为送达。公告送达，应在材料中记明原因和经过。</w:t>
      </w:r>
    </w:p>
    <w:p w14:paraId="649706BD">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第三十条</w:t>
      </w:r>
      <w:r>
        <w:rPr>
          <w:rFonts w:hint="eastAsia" w:ascii="仿宋_GB2312" w:hAnsi="仿宋" w:eastAsia="仿宋_GB2312" w:cs="Times New Roman"/>
          <w:sz w:val="32"/>
          <w:szCs w:val="32"/>
        </w:rPr>
        <w:t xml:space="preserve"> 退学学生，应自学校批准之日起，2周内办理离校手续离校，档案等退回学生户籍所在地。无故超过2周不办理离校手续者，学校将注销其学籍。</w:t>
      </w:r>
    </w:p>
    <w:p w14:paraId="1F9B438F">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bookmarkStart w:id="2" w:name="OLE_LINK2"/>
      <w:bookmarkStart w:id="3" w:name="OLE_LINK1"/>
      <w:r>
        <w:rPr>
          <w:rFonts w:hint="eastAsia" w:ascii="仿宋_GB2312" w:hAnsi="仿宋" w:eastAsia="仿宋_GB2312" w:cs="Times New Roman"/>
          <w:b/>
          <w:sz w:val="32"/>
          <w:szCs w:val="32"/>
        </w:rPr>
        <w:t>第三十一条</w:t>
      </w:r>
      <w:bookmarkEnd w:id="2"/>
      <w:bookmarkEnd w:id="3"/>
      <w:r>
        <w:rPr>
          <w:rFonts w:hint="eastAsia" w:ascii="仿宋_GB2312" w:hAnsi="仿宋" w:eastAsia="仿宋_GB2312" w:cs="Times New Roman"/>
          <w:sz w:val="32"/>
          <w:szCs w:val="32"/>
        </w:rPr>
        <w:t xml:space="preserve"> 退学的学生自学校批准之日起，即停止一切学生待遇。</w:t>
      </w:r>
    </w:p>
    <w:p w14:paraId="6083F0CA">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 xml:space="preserve">第三十二条 </w:t>
      </w:r>
      <w:r>
        <w:rPr>
          <w:rFonts w:hint="eastAsia" w:ascii="仿宋_GB2312" w:hAnsi="仿宋" w:eastAsia="仿宋_GB2312" w:cs="Times New Roman"/>
          <w:bCs/>
          <w:sz w:val="32"/>
          <w:szCs w:val="32"/>
        </w:rPr>
        <w:t>开除</w:t>
      </w:r>
      <w:r>
        <w:rPr>
          <w:rFonts w:ascii="仿宋_GB2312" w:hAnsi="仿宋" w:eastAsia="仿宋_GB2312" w:cs="Times New Roman"/>
          <w:bCs/>
          <w:sz w:val="32"/>
          <w:szCs w:val="32"/>
        </w:rPr>
        <w:t>学籍</w:t>
      </w:r>
      <w:r>
        <w:rPr>
          <w:rFonts w:hint="eastAsia" w:ascii="仿宋_GB2312" w:hAnsi="仿宋" w:eastAsia="仿宋_GB2312" w:cs="Times New Roman"/>
          <w:bCs/>
          <w:sz w:val="32"/>
          <w:szCs w:val="32"/>
        </w:rPr>
        <w:t>处理</w:t>
      </w:r>
      <w:r>
        <w:rPr>
          <w:rFonts w:ascii="仿宋_GB2312" w:hAnsi="仿宋" w:eastAsia="仿宋_GB2312" w:cs="Times New Roman"/>
          <w:bCs/>
          <w:sz w:val="32"/>
          <w:szCs w:val="32"/>
        </w:rPr>
        <w:t>根据《</w:t>
      </w:r>
      <w:r>
        <w:rPr>
          <w:rFonts w:hint="eastAsia" w:ascii="仿宋_GB2312" w:hAnsi="仿宋" w:eastAsia="仿宋_GB2312" w:cs="Times New Roman"/>
          <w:bCs/>
          <w:sz w:val="32"/>
          <w:szCs w:val="32"/>
        </w:rPr>
        <w:t>北京青年政治学院学生</w:t>
      </w:r>
      <w:r>
        <w:rPr>
          <w:rFonts w:ascii="仿宋_GB2312" w:hAnsi="仿宋" w:eastAsia="仿宋_GB2312" w:cs="Times New Roman"/>
          <w:bCs/>
          <w:sz w:val="32"/>
          <w:szCs w:val="32"/>
        </w:rPr>
        <w:t>违纪处分规定》</w:t>
      </w:r>
      <w:r>
        <w:rPr>
          <w:rFonts w:hint="eastAsia" w:ascii="仿宋_GB2312" w:hAnsi="仿宋" w:eastAsia="仿宋_GB2312" w:cs="Times New Roman"/>
          <w:bCs/>
          <w:sz w:val="32"/>
          <w:szCs w:val="32"/>
        </w:rPr>
        <w:t>执行</w:t>
      </w:r>
      <w:r>
        <w:rPr>
          <w:rFonts w:ascii="仿宋_GB2312" w:hAnsi="仿宋" w:eastAsia="仿宋_GB2312" w:cs="Times New Roman"/>
          <w:bCs/>
          <w:sz w:val="32"/>
          <w:szCs w:val="32"/>
        </w:rPr>
        <w:t>。</w:t>
      </w:r>
    </w:p>
    <w:p w14:paraId="7B74012F">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第三十三条</w:t>
      </w:r>
      <w:r>
        <w:rPr>
          <w:rFonts w:hint="eastAsia" w:ascii="仿宋_GB2312" w:hAnsi="仿宋" w:eastAsia="仿宋_GB2312" w:cs="Times New Roman"/>
          <w:sz w:val="32"/>
          <w:szCs w:val="32"/>
        </w:rPr>
        <w:t xml:space="preserve"> 退学或开除学籍的学生均不得申请复学。</w:t>
      </w:r>
    </w:p>
    <w:p w14:paraId="1C673982">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s="Times New Roman"/>
          <w:sz w:val="32"/>
          <w:szCs w:val="32"/>
        </w:rPr>
      </w:pPr>
      <w:r>
        <w:rPr>
          <w:rFonts w:hint="eastAsia" w:ascii="黑体" w:hAnsi="黑体" w:eastAsia="黑体" w:cs="Times New Roman"/>
          <w:sz w:val="32"/>
          <w:szCs w:val="32"/>
        </w:rPr>
        <w:t>七、毕业、结业、肄业</w:t>
      </w:r>
    </w:p>
    <w:p w14:paraId="20DB5B9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第三十四条</w:t>
      </w:r>
      <w:r>
        <w:rPr>
          <w:rFonts w:hint="eastAsia" w:ascii="仿宋_GB2312" w:hAnsi="仿宋" w:eastAsia="仿宋_GB2312" w:cs="Times New Roman"/>
          <w:sz w:val="32"/>
          <w:szCs w:val="32"/>
        </w:rPr>
        <w:t xml:space="preserve"> 学生在学校规定学习年限内修完培养方案规定内容，成绩合格，达到毕业要求，准予毕业，由学校发给毕业证书。</w:t>
      </w:r>
    </w:p>
    <w:p w14:paraId="7C40A4EA">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第三十五条</w:t>
      </w:r>
      <w:r>
        <w:rPr>
          <w:rFonts w:hint="eastAsia" w:ascii="仿宋_GB2312" w:hAnsi="仿宋" w:eastAsia="仿宋_GB2312" w:cs="Times New Roman"/>
          <w:sz w:val="32"/>
          <w:szCs w:val="32"/>
        </w:rPr>
        <w:t xml:space="preserve"> 学生在学校规定学习年限内，修完教育教学计划规定内容，但未达到学校毕业要求的，准予结业，发给结业证书。取得结业证书的学生在结业后两年内，达到毕业标准，可申请换发毕业证书，经学校审核合格，准予换发毕业证书。毕业时间按换发证日期填写。</w:t>
      </w:r>
    </w:p>
    <w:p w14:paraId="19371A8D">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第三十六条</w:t>
      </w:r>
      <w:r>
        <w:rPr>
          <w:rFonts w:hint="eastAsia" w:ascii="仿宋_GB2312" w:hAnsi="仿宋" w:eastAsia="仿宋_GB2312" w:cs="Times New Roman"/>
          <w:sz w:val="32"/>
          <w:szCs w:val="32"/>
        </w:rPr>
        <w:t xml:space="preserve"> 学满一学年及以上退学的学生，学校发给肄业证书或写实性学习证明。</w:t>
      </w:r>
    </w:p>
    <w:p w14:paraId="7E73A6BA">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第三十七条</w:t>
      </w:r>
      <w:r>
        <w:rPr>
          <w:rFonts w:hint="eastAsia" w:ascii="仿宋_GB2312" w:hAnsi="仿宋" w:eastAsia="仿宋_GB2312" w:cs="Times New Roman"/>
          <w:sz w:val="32"/>
          <w:szCs w:val="32"/>
        </w:rPr>
        <w:t xml:space="preserve"> 对违反国家招生规定取得入学资格或者学籍的，一经发现，由学校取消其学籍，不发放学历证书；已发的学历证书由学校予以撤销。对以作弊、剽窃、抄袭等学术不端行为或者其他不正当手段获得学历证书的，一经发现，予以撤销。</w:t>
      </w:r>
    </w:p>
    <w:p w14:paraId="04788EC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被撤销的学历证书已注册的，由学校予以注销并报北京市教育委员会做无效处理。</w:t>
      </w:r>
    </w:p>
    <w:p w14:paraId="7855DA7B">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第三十八条</w:t>
      </w:r>
      <w:r>
        <w:rPr>
          <w:rFonts w:hint="eastAsia" w:ascii="仿宋_GB2312" w:hAnsi="仿宋" w:eastAsia="仿宋_GB2312" w:cs="Times New Roman"/>
          <w:sz w:val="32"/>
          <w:szCs w:val="32"/>
        </w:rPr>
        <w:t xml:space="preserve"> 毕业、结业证书遗失或损坏，经本人申请，由学校出具相应的证明书。证明书与原证书具有同等效力。</w:t>
      </w:r>
    </w:p>
    <w:p w14:paraId="409A24E4">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s="Times New Roman"/>
          <w:sz w:val="32"/>
          <w:szCs w:val="32"/>
        </w:rPr>
      </w:pPr>
      <w:r>
        <w:rPr>
          <w:rFonts w:hint="eastAsia" w:ascii="黑体" w:hAnsi="黑体" w:eastAsia="黑体" w:cs="Times New Roman"/>
          <w:sz w:val="32"/>
          <w:szCs w:val="32"/>
        </w:rPr>
        <w:t>八、学籍异动处理程序</w:t>
      </w:r>
    </w:p>
    <w:p w14:paraId="4F51E646">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第三十九条</w:t>
      </w:r>
      <w:r>
        <w:rPr>
          <w:rFonts w:hint="eastAsia" w:ascii="仿宋_GB2312" w:hAnsi="仿宋" w:eastAsia="仿宋_GB2312" w:cs="Times New Roman"/>
          <w:sz w:val="32"/>
          <w:szCs w:val="32"/>
        </w:rPr>
        <w:t xml:space="preserve"> 凡涉及保留入学资格、休学、复学、提前毕业、退学、转专业、转学等各种学籍异动的，一律须由学生本人提出书面请求及相关证明材料，原则上应由学生家长（监护人）签字同意，经学生所在二级学院提出意见，报教务处审批，重大变动上报主管校长批准。</w:t>
      </w:r>
    </w:p>
    <w:p w14:paraId="3F7CEEC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对学生作出取消入学资格、取消学籍、退学、转学等涉及学生重大利益的处理或者处分决定的，报校长办公会审批，结果上报北京市教育委员会备案。</w:t>
      </w:r>
    </w:p>
    <w:p w14:paraId="12576C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仿宋" w:eastAsia="仿宋_GB2312" w:cs="Times New Roman"/>
          <w:sz w:val="32"/>
          <w:szCs w:val="32"/>
        </w:rPr>
      </w:pPr>
      <w:r>
        <w:rPr>
          <w:rFonts w:hint="eastAsia" w:ascii="仿宋_GB2312" w:hAnsi="仿宋" w:eastAsia="仿宋_GB2312" w:cs="Times New Roman"/>
          <w:sz w:val="32"/>
          <w:szCs w:val="32"/>
        </w:rPr>
        <w:t>各二级学院负责将学生学籍异动情况通报相关部门和人员。</w:t>
      </w:r>
    </w:p>
    <w:p w14:paraId="74C808AD">
      <w:pPr>
        <w:keepNext w:val="0"/>
        <w:keepLines w:val="0"/>
        <w:pageBreakBefore w:val="0"/>
        <w:kinsoku/>
        <w:wordWrap/>
        <w:overflowPunct/>
        <w:topLinePunct w:val="0"/>
        <w:autoSpaceDE/>
        <w:autoSpaceDN/>
        <w:bidi w:val="0"/>
        <w:adjustRightInd/>
        <w:snapToGrid/>
        <w:spacing w:line="560" w:lineRule="exact"/>
        <w:jc w:val="center"/>
        <w:textAlignment w:val="auto"/>
        <w:rPr>
          <w:rFonts w:ascii="黑体" w:hAnsi="黑体" w:eastAsia="黑体" w:cs="Times New Roman"/>
          <w:sz w:val="32"/>
          <w:szCs w:val="32"/>
        </w:rPr>
      </w:pPr>
      <w:r>
        <w:rPr>
          <w:rFonts w:hint="eastAsia" w:ascii="黑体" w:hAnsi="黑体" w:eastAsia="黑体" w:cs="Times New Roman"/>
          <w:sz w:val="32"/>
          <w:szCs w:val="32"/>
        </w:rPr>
        <w:t>九、附则</w:t>
      </w:r>
    </w:p>
    <w:p w14:paraId="6FE1B4E0">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仿宋_GB2312" w:hAnsi="仿宋" w:eastAsia="仿宋_GB2312" w:cs="Times New Roman"/>
          <w:sz w:val="32"/>
          <w:szCs w:val="32"/>
        </w:rPr>
      </w:pPr>
      <w:r>
        <w:rPr>
          <w:rFonts w:hint="eastAsia" w:ascii="仿宋_GB2312" w:hAnsi="仿宋" w:eastAsia="仿宋_GB2312" w:cs="Times New Roman"/>
          <w:b/>
          <w:sz w:val="32"/>
          <w:szCs w:val="32"/>
        </w:rPr>
        <w:t>第四十条</w:t>
      </w:r>
      <w:r>
        <w:rPr>
          <w:rFonts w:hint="eastAsia" w:ascii="仿宋_GB2312" w:hAnsi="仿宋" w:eastAsia="仿宋_GB2312" w:cs="Times New Roman"/>
          <w:sz w:val="32"/>
          <w:szCs w:val="32"/>
        </w:rPr>
        <w:t xml:space="preserve"> 本规定自2025</w:t>
      </w:r>
      <w:r>
        <w:rPr>
          <w:rFonts w:ascii="仿宋_GB2312" w:hAnsi="仿宋" w:eastAsia="仿宋_GB2312" w:cs="Times New Roman"/>
          <w:sz w:val="32"/>
          <w:szCs w:val="32"/>
        </w:rPr>
        <w:t>年</w:t>
      </w:r>
      <w:r>
        <w:rPr>
          <w:rFonts w:hint="eastAsia" w:ascii="仿宋_GB2312" w:hAnsi="仿宋" w:eastAsia="仿宋_GB2312" w:cs="Times New Roman"/>
          <w:sz w:val="32"/>
          <w:szCs w:val="32"/>
        </w:rPr>
        <w:t>9月1日起执行，由教务处负责解释。</w:t>
      </w:r>
    </w:p>
    <w:p w14:paraId="437E99DA">
      <w:pPr>
        <w:spacing w:line="560" w:lineRule="exact"/>
        <w:rPr>
          <w:rFonts w:ascii="仿宋_GB2312" w:hAnsi="仿宋" w:eastAsia="仿宋_GB2312"/>
          <w:sz w:val="32"/>
          <w:szCs w:val="32"/>
        </w:rPr>
      </w:pPr>
    </w:p>
    <w:p w14:paraId="088E5247">
      <w:pPr>
        <w:spacing w:line="560" w:lineRule="exact"/>
        <w:rPr>
          <w:rFonts w:ascii="仿宋" w:hAnsi="仿宋" w:eastAsia="仿宋"/>
          <w:sz w:val="32"/>
          <w:szCs w:val="32"/>
        </w:rPr>
      </w:pPr>
    </w:p>
    <w:p w14:paraId="49E9FE82">
      <w:pPr>
        <w:spacing w:line="560" w:lineRule="exact"/>
        <w:rPr>
          <w:rFonts w:ascii="仿宋_GB2312" w:hAnsi="仿宋" w:eastAsia="仿宋_GB2312" w:cs="Times New Roman"/>
          <w:sz w:val="32"/>
          <w:szCs w:val="32"/>
        </w:rPr>
      </w:pPr>
    </w:p>
    <w:p w14:paraId="5E558F72">
      <w:pPr>
        <w:widowControl/>
        <w:spacing w:line="560" w:lineRule="exact"/>
        <w:jc w:val="center"/>
        <w:rPr>
          <w:rFonts w:ascii="仿宋_GB2312" w:eastAsia="仿宋_GB2312"/>
          <w:color w:val="000000"/>
          <w:sz w:val="32"/>
          <w:szCs w:val="32"/>
        </w:rPr>
      </w:pPr>
    </w:p>
    <w:p w14:paraId="25369AB7">
      <w:pPr>
        <w:spacing w:line="560" w:lineRule="exact"/>
        <w:rPr>
          <w:rFonts w:ascii="仿宋_GB2312" w:hAnsi="仿宋" w:eastAsia="仿宋_GB2312" w:cs="Times New Roman"/>
          <w:sz w:val="32"/>
          <w:szCs w:val="32"/>
        </w:rPr>
      </w:pPr>
    </w:p>
    <w:p w14:paraId="3463426B">
      <w:pPr>
        <w:widowControl/>
        <w:spacing w:line="560" w:lineRule="exact"/>
        <w:jc w:val="center"/>
        <w:rPr>
          <w:rFonts w:ascii="仿宋_GB2312" w:eastAsia="仿宋_GB2312"/>
          <w:color w:val="000000"/>
          <w:sz w:val="32"/>
          <w:szCs w:val="32"/>
        </w:rPr>
      </w:pPr>
    </w:p>
    <w:p w14:paraId="5AAAB150">
      <w:pPr>
        <w:widowControl/>
        <w:spacing w:line="560" w:lineRule="exact"/>
        <w:jc w:val="center"/>
        <w:rPr>
          <w:rFonts w:ascii="仿宋_GB2312" w:eastAsia="仿宋_GB2312"/>
          <w:color w:val="000000"/>
          <w:sz w:val="32"/>
          <w:szCs w:val="32"/>
        </w:rPr>
      </w:pPr>
    </w:p>
    <w:p w14:paraId="23C714E7">
      <w:pPr>
        <w:widowControl/>
        <w:spacing w:line="560" w:lineRule="exact"/>
        <w:jc w:val="center"/>
        <w:rPr>
          <w:rFonts w:ascii="仿宋_GB2312" w:eastAsia="仿宋_GB2312"/>
          <w:color w:val="000000"/>
          <w:sz w:val="32"/>
          <w:szCs w:val="32"/>
        </w:rPr>
      </w:pPr>
    </w:p>
    <w:p w14:paraId="1E785177">
      <w:pPr>
        <w:widowControl/>
        <w:spacing w:line="560" w:lineRule="exact"/>
        <w:jc w:val="center"/>
        <w:rPr>
          <w:rFonts w:ascii="仿宋_GB2312" w:eastAsia="仿宋_GB2312"/>
          <w:color w:val="000000"/>
          <w:sz w:val="32"/>
          <w:szCs w:val="32"/>
        </w:rPr>
      </w:pPr>
    </w:p>
    <w:p w14:paraId="47886E8D">
      <w:pPr>
        <w:widowControl/>
        <w:spacing w:line="560" w:lineRule="exact"/>
        <w:jc w:val="center"/>
        <w:rPr>
          <w:rFonts w:ascii="仿宋_GB2312" w:eastAsia="仿宋_GB2312"/>
          <w:color w:val="000000"/>
          <w:sz w:val="32"/>
          <w:szCs w:val="32"/>
        </w:rPr>
      </w:pPr>
    </w:p>
    <w:p w14:paraId="24BE0A19">
      <w:pPr>
        <w:widowControl/>
        <w:spacing w:line="560" w:lineRule="exact"/>
        <w:jc w:val="center"/>
        <w:rPr>
          <w:rFonts w:ascii="仿宋_GB2312" w:eastAsia="仿宋_GB2312"/>
          <w:color w:val="000000"/>
          <w:sz w:val="32"/>
          <w:szCs w:val="32"/>
        </w:rPr>
      </w:pPr>
    </w:p>
    <w:p w14:paraId="2877B86C">
      <w:pPr>
        <w:widowControl/>
        <w:spacing w:line="560" w:lineRule="exact"/>
        <w:jc w:val="center"/>
        <w:rPr>
          <w:rFonts w:ascii="仿宋_GB2312" w:eastAsia="仿宋_GB2312"/>
          <w:color w:val="000000"/>
          <w:sz w:val="32"/>
          <w:szCs w:val="32"/>
        </w:rPr>
      </w:pPr>
    </w:p>
    <w:p w14:paraId="7D5813E6">
      <w:pPr>
        <w:widowControl/>
        <w:spacing w:line="560" w:lineRule="exact"/>
        <w:jc w:val="center"/>
        <w:rPr>
          <w:rFonts w:ascii="仿宋_GB2312" w:eastAsia="仿宋_GB2312"/>
          <w:color w:val="000000"/>
          <w:sz w:val="32"/>
          <w:szCs w:val="32"/>
        </w:rPr>
      </w:pPr>
    </w:p>
    <w:p w14:paraId="1D26A031">
      <w:pPr>
        <w:widowControl/>
        <w:spacing w:line="560" w:lineRule="exact"/>
        <w:jc w:val="center"/>
        <w:rPr>
          <w:rFonts w:ascii="仿宋_GB2312" w:eastAsia="仿宋_GB2312"/>
          <w:color w:val="000000"/>
          <w:sz w:val="32"/>
          <w:szCs w:val="32"/>
        </w:rPr>
      </w:pPr>
    </w:p>
    <w:p w14:paraId="5164E0B9">
      <w:pPr>
        <w:widowControl/>
        <w:spacing w:line="560" w:lineRule="exact"/>
        <w:jc w:val="center"/>
        <w:rPr>
          <w:rFonts w:ascii="仿宋_GB2312" w:eastAsia="仿宋_GB2312"/>
          <w:color w:val="000000"/>
          <w:sz w:val="32"/>
          <w:szCs w:val="32"/>
        </w:rPr>
      </w:pPr>
    </w:p>
    <w:p w14:paraId="3740A463">
      <w:pPr>
        <w:widowControl/>
        <w:spacing w:line="560" w:lineRule="exact"/>
        <w:jc w:val="center"/>
        <w:rPr>
          <w:rFonts w:ascii="仿宋_GB2312" w:eastAsia="仿宋_GB2312"/>
          <w:color w:val="000000"/>
          <w:sz w:val="32"/>
          <w:szCs w:val="32"/>
        </w:rPr>
      </w:pPr>
    </w:p>
    <w:p w14:paraId="4ADCDF8D">
      <w:pPr>
        <w:widowControl/>
        <w:spacing w:line="560" w:lineRule="exact"/>
        <w:jc w:val="center"/>
        <w:rPr>
          <w:rFonts w:ascii="仿宋_GB2312" w:eastAsia="仿宋_GB2312"/>
          <w:color w:val="000000"/>
          <w:sz w:val="32"/>
          <w:szCs w:val="32"/>
        </w:rPr>
      </w:pPr>
    </w:p>
    <w:p w14:paraId="13C942BB">
      <w:pPr>
        <w:widowControl/>
        <w:spacing w:line="560" w:lineRule="exact"/>
        <w:jc w:val="center"/>
        <w:rPr>
          <w:rFonts w:ascii="仿宋_GB2312" w:eastAsia="仿宋_GB2312"/>
          <w:color w:val="000000"/>
          <w:sz w:val="32"/>
          <w:szCs w:val="32"/>
        </w:rPr>
      </w:pPr>
    </w:p>
    <w:p w14:paraId="368AECB8">
      <w:pPr>
        <w:widowControl/>
        <w:spacing w:line="560" w:lineRule="exact"/>
        <w:jc w:val="center"/>
        <w:rPr>
          <w:rFonts w:ascii="仿宋_GB2312" w:eastAsia="仿宋_GB2312"/>
          <w:color w:val="000000"/>
          <w:sz w:val="32"/>
          <w:szCs w:val="32"/>
        </w:rPr>
      </w:pPr>
    </w:p>
    <w:p w14:paraId="165917C6">
      <w:pPr>
        <w:widowControl/>
        <w:spacing w:line="560" w:lineRule="exact"/>
        <w:jc w:val="center"/>
        <w:rPr>
          <w:rFonts w:ascii="仿宋_GB2312" w:eastAsia="仿宋_GB2312"/>
          <w:color w:val="000000"/>
          <w:sz w:val="32"/>
          <w:szCs w:val="32"/>
        </w:rPr>
      </w:pPr>
    </w:p>
    <w:p w14:paraId="2459BBD0">
      <w:pPr>
        <w:widowControl/>
        <w:spacing w:line="560" w:lineRule="exact"/>
        <w:jc w:val="center"/>
        <w:rPr>
          <w:rFonts w:ascii="仿宋_GB2312" w:eastAsia="仿宋_GB2312"/>
          <w:color w:val="000000"/>
          <w:sz w:val="32"/>
          <w:szCs w:val="32"/>
        </w:rPr>
      </w:pPr>
    </w:p>
    <w:tbl>
      <w:tblPr>
        <w:tblStyle w:val="2"/>
        <w:tblpPr w:leftFromText="180" w:rightFromText="180" w:vertAnchor="page" w:horzAnchor="page" w:tblpX="1739" w:tblpY="14482"/>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220"/>
      </w:tblGrid>
      <w:tr w14:paraId="1C89996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8220" w:type="dxa"/>
            <w:tcBorders>
              <w:top w:val="single" w:color="auto" w:sz="4" w:space="0"/>
              <w:left w:val="nil"/>
              <w:bottom w:val="single" w:color="auto" w:sz="4" w:space="0"/>
              <w:right w:val="nil"/>
            </w:tcBorders>
          </w:tcPr>
          <w:p w14:paraId="7C71B146">
            <w:pPr>
              <w:spacing w:line="600" w:lineRule="exact"/>
              <w:ind w:firstLine="280" w:firstLineChars="100"/>
              <w:rPr>
                <w:sz w:val="28"/>
                <w:szCs w:val="28"/>
              </w:rPr>
            </w:pPr>
            <w:r>
              <w:rPr>
                <w:rFonts w:hint="eastAsia" w:ascii="仿宋_GB2312" w:eastAsia="仿宋_GB2312"/>
                <w:sz w:val="28"/>
                <w:szCs w:val="28"/>
              </w:rPr>
              <w:t xml:space="preserve">党政办公室                          </w:t>
            </w:r>
            <w:r>
              <w:rPr>
                <w:rFonts w:ascii="仿宋_GB2312" w:eastAsia="仿宋_GB2312"/>
                <w:sz w:val="28"/>
                <w:szCs w:val="28"/>
              </w:rPr>
              <w:t>2025</w:t>
            </w:r>
            <w:r>
              <w:rPr>
                <w:rFonts w:hint="eastAsia" w:ascii="仿宋_GB2312" w:eastAsia="仿宋_GB2312"/>
                <w:sz w:val="28"/>
                <w:szCs w:val="28"/>
              </w:rPr>
              <w:t>年</w:t>
            </w:r>
            <w:r>
              <w:rPr>
                <w:rFonts w:hint="eastAsia" w:ascii="仿宋_GB2312" w:eastAsia="仿宋_GB2312"/>
                <w:sz w:val="28"/>
                <w:szCs w:val="28"/>
                <w:lang w:val="en-US" w:eastAsia="zh-CN"/>
              </w:rPr>
              <w:t>7</w:t>
            </w:r>
            <w:r>
              <w:rPr>
                <w:rFonts w:hint="eastAsia" w:ascii="仿宋_GB2312" w:eastAsia="仿宋_GB2312"/>
                <w:sz w:val="28"/>
                <w:szCs w:val="28"/>
              </w:rPr>
              <w:t>月</w:t>
            </w:r>
            <w:r>
              <w:rPr>
                <w:rFonts w:hint="eastAsia" w:ascii="仿宋_GB2312" w:eastAsia="仿宋_GB2312"/>
                <w:sz w:val="28"/>
                <w:szCs w:val="28"/>
                <w:lang w:val="en-US" w:eastAsia="zh-CN"/>
              </w:rPr>
              <w:t>22</w:t>
            </w:r>
            <w:r>
              <w:rPr>
                <w:rFonts w:hint="eastAsia" w:ascii="仿宋_GB2312" w:eastAsia="仿宋_GB2312"/>
                <w:sz w:val="28"/>
                <w:szCs w:val="28"/>
              </w:rPr>
              <w:t>日印发</w:t>
            </w:r>
          </w:p>
        </w:tc>
      </w:tr>
    </w:tbl>
    <w:p w14:paraId="2AD47A3A">
      <w:pPr>
        <w:widowControl/>
        <w:jc w:val="left"/>
        <w:rPr>
          <w:rFonts w:ascii="方正小标宋简体" w:hAnsi="华文中宋" w:eastAsia="方正小标宋简体"/>
          <w:sz w:val="44"/>
          <w:szCs w:val="44"/>
        </w:rPr>
      </w:pPr>
    </w:p>
    <w:p w14:paraId="5FA876F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001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A32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2025-11-17T07:01:56Z</dcterms:created>
  <dc:creator>dell</dc:creator>
  <cp:lastModifiedBy>CCCarolll</cp:lastModifiedBy>
  <dcterms:modified xsi:type="dcterms:W3CDTF">2025-11-17T07:02:02Z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eyJoZGlkIjoiYTNkNGI4NjQxZDk3YWJhZGNmODE1OTc1ZTRlYWRiZjAiLCJ1c2VySWQiOiIyNDE4MzI3NjQifQ==</vt:lpwstr>
  </property>
  <property fmtid="{D5CDD505-2E9C-101B-9397-08002B2CF9AE}" pid="4" name="ICV">
    <vt:lpwstr>7E6FC3BDD1A8419B8FEF952F68772E31_12</vt:lpwstr>
  </property>
</Properties>
</file>