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5"/>
        <w:tblW w:w="9346" w:type="dxa"/>
        <w:jc w:val="center"/>
        <w:tblBorders>
          <w:top w:val="none" w:color="auto" w:sz="0" w:space="0"/>
          <w:left w:val="none" w:color="auto" w:sz="0" w:space="0"/>
          <w:bottom w:val="single"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346"/>
      </w:tblGrid>
      <w:tr w14:paraId="6B2F0439">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8" w:hRule="atLeast"/>
          <w:jc w:val="center"/>
        </w:trPr>
        <w:tc>
          <w:tcPr>
            <w:tcW w:w="5000" w:type="pct"/>
            <w:noWrap w:val="0"/>
            <w:vAlign w:val="center"/>
          </w:tcPr>
          <w:p w14:paraId="5811F995">
            <w:pPr>
              <w:jc w:val="distribute"/>
              <w:rPr>
                <w:rFonts w:ascii="方正小标宋简体" w:hAnsi="宋体" w:eastAsia="方正小标宋简体"/>
                <w:color w:val="FF0000"/>
                <w:spacing w:val="-11"/>
                <w:sz w:val="72"/>
                <w:szCs w:val="72"/>
              </w:rPr>
            </w:pPr>
            <w:r>
              <w:rPr>
                <w:rFonts w:hint="eastAsia" w:ascii="方正小标宋简体" w:hAnsi="宋体" w:eastAsia="方正小标宋简体"/>
                <w:color w:val="FF0000"/>
                <w:spacing w:val="-11"/>
                <w:sz w:val="72"/>
                <w:szCs w:val="72"/>
              </w:rPr>
              <w:t>北京青年政治学院文件</w:t>
            </w:r>
          </w:p>
          <w:p w14:paraId="0349D214">
            <w:pPr>
              <w:rPr>
                <w:rFonts w:hint="eastAsia" w:ascii="方正小标宋简体" w:hAnsi="宋体" w:eastAsia="方正小标宋简体"/>
                <w:b/>
                <w:color w:val="000000"/>
                <w:spacing w:val="-24"/>
              </w:rPr>
            </w:pPr>
          </w:p>
        </w:tc>
      </w:tr>
      <w:tr w14:paraId="22E1DAFA">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5000" w:type="pct"/>
            <w:noWrap w:val="0"/>
            <w:vAlign w:val="center"/>
          </w:tcPr>
          <w:p w14:paraId="0B3DFCE0">
            <w:pPr>
              <w:jc w:val="center"/>
              <w:rPr>
                <w:rFonts w:hint="eastAsia" w:ascii="仿宋_GB2312" w:hAnsi="宋体" w:eastAsia="仿宋_GB2312"/>
                <w:color w:val="000000"/>
                <w:sz w:val="32"/>
                <w:szCs w:val="32"/>
              </w:rPr>
            </w:pPr>
            <w:r>
              <w:rPr>
                <w:rFonts w:hint="eastAsia" w:ascii="仿宋_GB2312" w:hAnsi="宋体" w:eastAsia="仿宋_GB2312"/>
                <w:color w:val="000000"/>
                <w:sz w:val="32"/>
                <w:szCs w:val="32"/>
              </w:rPr>
              <w:t>院发〔</w:t>
            </w:r>
            <w:r>
              <w:rPr>
                <w:rFonts w:hint="eastAsia" w:ascii="仿宋_GB2312" w:eastAsia="仿宋_GB2312"/>
                <w:color w:val="000000"/>
                <w:sz w:val="32"/>
                <w:szCs w:val="32"/>
              </w:rPr>
              <w:t>2024</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25</w:t>
            </w:r>
            <w:r>
              <w:rPr>
                <w:rFonts w:hint="eastAsia" w:ascii="仿宋_GB2312" w:eastAsia="仿宋_GB2312"/>
                <w:color w:val="000000"/>
                <w:sz w:val="32"/>
                <w:szCs w:val="32"/>
              </w:rPr>
              <w:t>号</w:t>
            </w:r>
          </w:p>
        </w:tc>
      </w:tr>
    </w:tbl>
    <w:p w14:paraId="7219B8D8">
      <w:pPr>
        <w:jc w:val="distribute"/>
        <w:rPr>
          <w:rFonts w:ascii="方正小标宋简体" w:hAnsi="宋体" w:eastAsia="方正小标宋简体"/>
          <w:color w:val="FF0000"/>
          <w:sz w:val="64"/>
          <w:szCs w:val="64"/>
        </w:rPr>
      </w:pPr>
    </w:p>
    <w:p w14:paraId="5629C152">
      <w:pPr>
        <w:spacing w:line="600" w:lineRule="exact"/>
        <w:jc w:val="center"/>
        <w:rPr>
          <w:rFonts w:ascii="方正小标宋简体" w:hAnsi="方正小标宋简体" w:eastAsia="方正小标宋简体" w:cs="方正小标宋简体"/>
          <w:sz w:val="44"/>
          <w:szCs w:val="44"/>
        </w:rPr>
      </w:pPr>
      <w:bookmarkStart w:id="0" w:name="_Toc250537265"/>
      <w:bookmarkEnd w:id="0"/>
      <w:bookmarkStart w:id="1" w:name="_Toc251685203"/>
      <w:bookmarkEnd w:id="1"/>
      <w:bookmarkStart w:id="2" w:name="_Toc250454266"/>
      <w:bookmarkEnd w:id="2"/>
      <w:bookmarkStart w:id="3" w:name="_Toc251685251"/>
      <w:bookmarkEnd w:id="3"/>
      <w:bookmarkStart w:id="4" w:name="_Toc250454403"/>
      <w:bookmarkEnd w:id="4"/>
      <w:bookmarkStart w:id="5" w:name="_Toc250498189"/>
      <w:bookmarkEnd w:id="5"/>
      <w:bookmarkStart w:id="6" w:name="_Toc260221961"/>
      <w:bookmarkEnd w:id="6"/>
      <w:r>
        <w:rPr>
          <w:rFonts w:hint="eastAsia" w:ascii="方正小标宋简体" w:hAnsi="方正小标宋简体" w:eastAsia="方正小标宋简体" w:cs="方正小标宋简体"/>
          <w:sz w:val="44"/>
          <w:szCs w:val="44"/>
        </w:rPr>
        <w:t>北京青年政治学院关于印发</w:t>
      </w:r>
    </w:p>
    <w:p w14:paraId="3A645FC5">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w:t>
      </w:r>
      <w:r>
        <w:rPr>
          <w:rFonts w:ascii="方正小标宋简体" w:hAnsi="方正小标宋简体" w:eastAsia="方正小标宋简体" w:cs="方正小标宋简体"/>
          <w:sz w:val="44"/>
          <w:szCs w:val="44"/>
        </w:rPr>
        <w:t>北京青年政治学院</w:t>
      </w:r>
      <w:r>
        <w:rPr>
          <w:rFonts w:hint="eastAsia" w:ascii="方正小标宋简体" w:hAnsi="方正小标宋简体" w:eastAsia="方正小标宋简体" w:cs="方正小标宋简体"/>
          <w:sz w:val="44"/>
          <w:szCs w:val="44"/>
          <w:lang w:val="en-US" w:eastAsia="zh-CN"/>
        </w:rPr>
        <w:t>财务管理办法</w:t>
      </w:r>
      <w:r>
        <w:rPr>
          <w:rFonts w:hint="eastAsia" w:ascii="方正小标宋简体" w:hAnsi="方正小标宋简体" w:eastAsia="方正小标宋简体" w:cs="方正小标宋简体"/>
          <w:sz w:val="44"/>
          <w:szCs w:val="44"/>
        </w:rPr>
        <w:t>》的通知</w:t>
      </w:r>
    </w:p>
    <w:p w14:paraId="20608F87">
      <w:pPr>
        <w:rPr>
          <w:rFonts w:ascii="仿宋_GB2312" w:hAnsi="黑体" w:eastAsia="仿宋_GB2312"/>
          <w:sz w:val="32"/>
          <w:szCs w:val="32"/>
        </w:rPr>
      </w:pPr>
    </w:p>
    <w:p w14:paraId="61C737CA">
      <w:pPr>
        <w:spacing w:line="560" w:lineRule="exact"/>
        <w:rPr>
          <w:rFonts w:ascii="楷体_GB2312" w:hAnsi="楷体" w:eastAsia="楷体_GB2312"/>
          <w:color w:val="000000"/>
          <w:sz w:val="32"/>
          <w:szCs w:val="32"/>
        </w:rPr>
      </w:pPr>
      <w:r>
        <w:rPr>
          <w:rFonts w:hint="eastAsia" w:ascii="楷体_GB2312" w:hAnsi="楷体" w:eastAsia="楷体_GB2312"/>
          <w:color w:val="000000"/>
          <w:sz w:val="32"/>
          <w:szCs w:val="32"/>
        </w:rPr>
        <w:t>各部门、单位:</w:t>
      </w:r>
    </w:p>
    <w:p w14:paraId="2672736A">
      <w:pPr>
        <w:widowControl/>
        <w:spacing w:line="560" w:lineRule="exact"/>
        <w:ind w:firstLine="640" w:firstLineChars="200"/>
        <w:rPr>
          <w:rFonts w:ascii="楷体_GB2312" w:hAnsi="楷体" w:eastAsia="楷体_GB2312"/>
          <w:color w:val="000000"/>
          <w:sz w:val="32"/>
          <w:szCs w:val="32"/>
        </w:rPr>
      </w:pPr>
      <w:r>
        <w:rPr>
          <w:rFonts w:hint="eastAsia" w:ascii="楷体_GB2312" w:hAnsi="楷体" w:eastAsia="楷体_GB2312"/>
          <w:color w:val="000000"/>
          <w:sz w:val="32"/>
          <w:szCs w:val="32"/>
          <w:lang w:val="en-US" w:eastAsia="zh-CN"/>
        </w:rPr>
        <w:t>新修订的</w:t>
      </w:r>
      <w:r>
        <w:rPr>
          <w:rFonts w:hint="eastAsia" w:ascii="楷体_GB2312" w:hAnsi="楷体" w:eastAsia="楷体_GB2312"/>
          <w:color w:val="000000"/>
          <w:sz w:val="32"/>
          <w:szCs w:val="32"/>
        </w:rPr>
        <w:t>《北京青年政治学院</w:t>
      </w:r>
      <w:r>
        <w:rPr>
          <w:rFonts w:hint="eastAsia" w:ascii="楷体_GB2312" w:hAnsi="楷体" w:eastAsia="楷体_GB2312"/>
          <w:color w:val="000000"/>
          <w:sz w:val="32"/>
          <w:szCs w:val="32"/>
          <w:lang w:val="en-US" w:eastAsia="zh-CN"/>
        </w:rPr>
        <w:t>财务管理办法</w:t>
      </w:r>
      <w:r>
        <w:rPr>
          <w:rFonts w:hint="eastAsia" w:ascii="楷体_GB2312" w:hAnsi="楷体" w:eastAsia="楷体_GB2312"/>
          <w:color w:val="000000"/>
          <w:sz w:val="32"/>
          <w:szCs w:val="32"/>
        </w:rPr>
        <w:t>》</w:t>
      </w:r>
      <w:r>
        <w:rPr>
          <w:rFonts w:hint="eastAsia" w:ascii="楷体_GB2312" w:hAnsi="楷体" w:eastAsia="楷体_GB2312"/>
          <w:sz w:val="32"/>
          <w:szCs w:val="32"/>
        </w:rPr>
        <w:t>经学院202</w:t>
      </w:r>
      <w:r>
        <w:rPr>
          <w:rFonts w:hint="eastAsia" w:ascii="楷体_GB2312" w:hAnsi="楷体" w:eastAsia="楷体_GB2312"/>
          <w:sz w:val="32"/>
          <w:szCs w:val="32"/>
          <w:lang w:val="en-US" w:eastAsia="zh-CN"/>
        </w:rPr>
        <w:t>4</w:t>
      </w:r>
      <w:r>
        <w:rPr>
          <w:rFonts w:hint="eastAsia" w:ascii="楷体_GB2312" w:hAnsi="楷体" w:eastAsia="楷体_GB2312"/>
          <w:sz w:val="32"/>
          <w:szCs w:val="32"/>
        </w:rPr>
        <w:t>年</w:t>
      </w:r>
      <w:r>
        <w:rPr>
          <w:rFonts w:hint="eastAsia" w:ascii="楷体_GB2312" w:hAnsi="楷体" w:eastAsia="楷体_GB2312"/>
          <w:sz w:val="32"/>
          <w:szCs w:val="32"/>
          <w:lang w:val="en-US" w:eastAsia="zh-CN"/>
        </w:rPr>
        <w:t>11</w:t>
      </w:r>
      <w:r>
        <w:rPr>
          <w:rFonts w:hint="eastAsia" w:ascii="楷体_GB2312" w:hAnsi="楷体" w:eastAsia="楷体_GB2312"/>
          <w:sz w:val="32"/>
          <w:szCs w:val="32"/>
        </w:rPr>
        <w:t>月</w:t>
      </w:r>
      <w:r>
        <w:rPr>
          <w:rFonts w:hint="eastAsia" w:ascii="楷体_GB2312" w:hAnsi="楷体" w:eastAsia="楷体_GB2312"/>
          <w:sz w:val="32"/>
          <w:szCs w:val="32"/>
          <w:lang w:val="en-US" w:eastAsia="zh-CN"/>
        </w:rPr>
        <w:t>14</w:t>
      </w:r>
      <w:r>
        <w:rPr>
          <w:rFonts w:hint="eastAsia" w:ascii="楷体_GB2312" w:hAnsi="楷体" w:eastAsia="楷体_GB2312"/>
          <w:sz w:val="32"/>
          <w:szCs w:val="32"/>
        </w:rPr>
        <w:t>日第二十</w:t>
      </w:r>
      <w:r>
        <w:rPr>
          <w:rFonts w:hint="eastAsia" w:ascii="楷体_GB2312" w:hAnsi="楷体" w:eastAsia="楷体_GB2312"/>
          <w:sz w:val="32"/>
          <w:szCs w:val="32"/>
          <w:lang w:val="en-US" w:eastAsia="zh-CN"/>
        </w:rPr>
        <w:t>九</w:t>
      </w:r>
      <w:r>
        <w:rPr>
          <w:rFonts w:hint="eastAsia" w:ascii="楷体_GB2312" w:hAnsi="楷体" w:eastAsia="楷体_GB2312"/>
          <w:sz w:val="32"/>
          <w:szCs w:val="32"/>
        </w:rPr>
        <w:t>次院长办公会讨</w:t>
      </w:r>
      <w:r>
        <w:rPr>
          <w:rFonts w:hint="eastAsia" w:ascii="楷体_GB2312" w:hAnsi="楷体" w:eastAsia="楷体_GB2312"/>
          <w:color w:val="000000"/>
          <w:sz w:val="32"/>
          <w:szCs w:val="32"/>
        </w:rPr>
        <w:t>论通过</w:t>
      </w:r>
      <w:r>
        <w:rPr>
          <w:rFonts w:hint="eastAsia" w:ascii="楷体_GB2312" w:hAnsi="楷体" w:eastAsia="楷体_GB2312"/>
          <w:color w:val="000000" w:themeColor="text1"/>
          <w:sz w:val="32"/>
          <w:szCs w:val="32"/>
          <w14:textFill>
            <w14:solidFill>
              <w14:schemeClr w14:val="tx1"/>
            </w14:solidFill>
          </w14:textFill>
        </w:rPr>
        <w:t>，现印发给你们，请认真遵照执行。</w:t>
      </w:r>
    </w:p>
    <w:p w14:paraId="74331E4C">
      <w:pPr>
        <w:spacing w:line="560" w:lineRule="exact"/>
        <w:jc w:val="center"/>
        <w:rPr>
          <w:rFonts w:ascii="楷体_GB2312" w:hAnsi="楷体" w:eastAsia="楷体_GB2312"/>
          <w:bCs/>
          <w:color w:val="000000" w:themeColor="text1"/>
          <w:sz w:val="44"/>
          <w:szCs w:val="44"/>
          <w14:textFill>
            <w14:solidFill>
              <w14:schemeClr w14:val="tx1"/>
            </w14:solidFill>
          </w14:textFill>
        </w:rPr>
      </w:pPr>
    </w:p>
    <w:p w14:paraId="2587880D">
      <w:pPr>
        <w:pStyle w:val="3"/>
        <w:spacing w:line="560" w:lineRule="exact"/>
        <w:rPr>
          <w:rFonts w:ascii="楷体_GB2312" w:eastAsia="楷体_GB2312"/>
        </w:rPr>
      </w:pPr>
    </w:p>
    <w:p w14:paraId="05A8322E">
      <w:pPr>
        <w:spacing w:line="560" w:lineRule="exact"/>
        <w:ind w:firstLine="4800" w:firstLineChars="1500"/>
        <w:jc w:val="left"/>
        <w:rPr>
          <w:rFonts w:ascii="楷体_GB2312" w:hAnsi="楷体" w:eastAsia="楷体_GB2312"/>
          <w:color w:val="000000" w:themeColor="text1"/>
          <w:sz w:val="32"/>
          <w:szCs w:val="32"/>
          <w14:textFill>
            <w14:solidFill>
              <w14:schemeClr w14:val="tx1"/>
            </w14:solidFill>
          </w14:textFill>
        </w:rPr>
      </w:pPr>
      <w:r>
        <w:rPr>
          <w:rFonts w:hint="eastAsia" w:ascii="楷体_GB2312" w:hAnsi="楷体" w:eastAsia="楷体_GB2312"/>
          <w:color w:val="000000" w:themeColor="text1"/>
          <w:sz w:val="32"/>
          <w:szCs w:val="32"/>
          <w14:textFill>
            <w14:solidFill>
              <w14:schemeClr w14:val="tx1"/>
            </w14:solidFill>
          </w14:textFill>
        </w:rPr>
        <w:t>北京青年政治学院</w:t>
      </w:r>
    </w:p>
    <w:p w14:paraId="5172A9E4">
      <w:pPr>
        <w:spacing w:line="560" w:lineRule="exact"/>
        <w:ind w:firstLine="4800" w:firstLineChars="1500"/>
        <w:jc w:val="left"/>
        <w:rPr>
          <w:rFonts w:ascii="楷体_GB2312" w:hAnsi="楷体" w:eastAsia="楷体_GB2312"/>
          <w:color w:val="000000" w:themeColor="text1"/>
          <w:sz w:val="32"/>
          <w:szCs w:val="32"/>
          <w14:textFill>
            <w14:solidFill>
              <w14:schemeClr w14:val="tx1"/>
            </w14:solidFill>
          </w14:textFill>
        </w:rPr>
      </w:pPr>
      <w:r>
        <w:rPr>
          <w:rFonts w:hint="eastAsia" w:ascii="楷体_GB2312" w:hAnsi="楷体" w:eastAsia="楷体_GB2312"/>
          <w:color w:val="000000" w:themeColor="text1"/>
          <w:sz w:val="32"/>
          <w:szCs w:val="32"/>
          <w14:textFill>
            <w14:solidFill>
              <w14:schemeClr w14:val="tx1"/>
            </w14:solidFill>
          </w14:textFill>
        </w:rPr>
        <w:t>202</w:t>
      </w:r>
      <w:r>
        <w:rPr>
          <w:rFonts w:hint="eastAsia" w:ascii="楷体_GB2312" w:hAnsi="楷体" w:eastAsia="楷体_GB2312"/>
          <w:color w:val="000000" w:themeColor="text1"/>
          <w:sz w:val="32"/>
          <w:szCs w:val="32"/>
          <w:lang w:val="en-US" w:eastAsia="zh-CN"/>
          <w14:textFill>
            <w14:solidFill>
              <w14:schemeClr w14:val="tx1"/>
            </w14:solidFill>
          </w14:textFill>
        </w:rPr>
        <w:t>4</w:t>
      </w:r>
      <w:r>
        <w:rPr>
          <w:rFonts w:hint="eastAsia" w:ascii="楷体_GB2312" w:hAnsi="楷体" w:eastAsia="楷体_GB2312"/>
          <w:color w:val="000000" w:themeColor="text1"/>
          <w:sz w:val="32"/>
          <w:szCs w:val="32"/>
          <w14:textFill>
            <w14:solidFill>
              <w14:schemeClr w14:val="tx1"/>
            </w14:solidFill>
          </w14:textFill>
        </w:rPr>
        <w:t>年</w:t>
      </w:r>
      <w:r>
        <w:rPr>
          <w:rFonts w:hint="eastAsia" w:ascii="楷体_GB2312" w:hAnsi="楷体" w:eastAsia="楷体_GB2312"/>
          <w:color w:val="000000" w:themeColor="text1"/>
          <w:sz w:val="32"/>
          <w:szCs w:val="32"/>
          <w:lang w:val="en-US" w:eastAsia="zh-CN"/>
          <w14:textFill>
            <w14:solidFill>
              <w14:schemeClr w14:val="tx1"/>
            </w14:solidFill>
          </w14:textFill>
        </w:rPr>
        <w:t>11</w:t>
      </w:r>
      <w:r>
        <w:rPr>
          <w:rFonts w:hint="eastAsia" w:ascii="楷体_GB2312" w:hAnsi="楷体" w:eastAsia="楷体_GB2312"/>
          <w:color w:val="000000" w:themeColor="text1"/>
          <w:sz w:val="32"/>
          <w:szCs w:val="32"/>
          <w14:textFill>
            <w14:solidFill>
              <w14:schemeClr w14:val="tx1"/>
            </w14:solidFill>
          </w14:textFill>
        </w:rPr>
        <w:t>月</w:t>
      </w:r>
      <w:r>
        <w:rPr>
          <w:rFonts w:hint="eastAsia" w:ascii="楷体_GB2312" w:hAnsi="楷体" w:eastAsia="楷体_GB2312"/>
          <w:color w:val="000000" w:themeColor="text1"/>
          <w:sz w:val="32"/>
          <w:szCs w:val="32"/>
          <w:lang w:val="en-US" w:eastAsia="zh-CN"/>
          <w14:textFill>
            <w14:solidFill>
              <w14:schemeClr w14:val="tx1"/>
            </w14:solidFill>
          </w14:textFill>
        </w:rPr>
        <w:t>18</w:t>
      </w:r>
      <w:r>
        <w:rPr>
          <w:rFonts w:hint="eastAsia" w:ascii="楷体_GB2312" w:hAnsi="楷体" w:eastAsia="楷体_GB2312"/>
          <w:color w:val="000000" w:themeColor="text1"/>
          <w:sz w:val="32"/>
          <w:szCs w:val="32"/>
          <w14:textFill>
            <w14:solidFill>
              <w14:schemeClr w14:val="tx1"/>
            </w14:solidFill>
          </w14:textFill>
        </w:rPr>
        <w:t>日</w:t>
      </w:r>
    </w:p>
    <w:p w14:paraId="7E05A4D1">
      <w:pPr>
        <w:spacing w:line="560" w:lineRule="exact"/>
        <w:ind w:firstLine="640" w:firstLineChars="200"/>
        <w:rPr>
          <w:rFonts w:ascii="仿宋_GB2312" w:hAnsi="黑体" w:eastAsia="仿宋_GB2312"/>
          <w:sz w:val="32"/>
          <w:szCs w:val="32"/>
        </w:rPr>
      </w:pPr>
    </w:p>
    <w:p w14:paraId="7C7E47CC">
      <w:pPr>
        <w:keepNext w:val="0"/>
        <w:keepLines w:val="0"/>
        <w:pageBreakBefore w:val="0"/>
        <w:tabs>
          <w:tab w:val="left" w:pos="630"/>
        </w:tabs>
        <w:kinsoku/>
        <w:wordWrap/>
        <w:overflowPunct/>
        <w:topLinePunct w:val="0"/>
        <w:autoSpaceDE/>
        <w:autoSpaceDN/>
        <w:bidi w:val="0"/>
        <w:adjustRightInd w:val="0"/>
        <w:snapToGrid w:val="0"/>
        <w:spacing w:line="560" w:lineRule="exact"/>
        <w:jc w:val="center"/>
        <w:textAlignment w:val="auto"/>
        <w:rPr>
          <w:rFonts w:ascii="方正小标宋_GBK" w:eastAsia="方正小标宋_GBK"/>
          <w:sz w:val="44"/>
          <w:szCs w:val="44"/>
        </w:rPr>
      </w:pPr>
      <w:r>
        <w:rPr>
          <w:rFonts w:hint="eastAsia" w:ascii="方正小标宋简体" w:hAnsi="华文中宋" w:eastAsia="方正小标宋简体"/>
          <w:sz w:val="44"/>
          <w:szCs w:val="44"/>
        </w:rPr>
        <w:t>北京青年政治学院</w:t>
      </w:r>
      <w:r>
        <w:rPr>
          <w:rFonts w:hint="eastAsia" w:ascii="方正小标宋简体" w:hAnsi="华文中宋" w:eastAsia="方正小标宋简体"/>
          <w:sz w:val="44"/>
          <w:szCs w:val="44"/>
          <w:lang w:val="en-US" w:eastAsia="zh-CN"/>
        </w:rPr>
        <w:t>财务管理</w:t>
      </w:r>
      <w:r>
        <w:rPr>
          <w:rFonts w:hint="eastAsia" w:ascii="方正小标宋简体" w:hAnsi="华文中宋" w:eastAsia="方正小标宋简体"/>
          <w:sz w:val="44"/>
          <w:szCs w:val="44"/>
        </w:rPr>
        <w:t>办法</w:t>
      </w:r>
    </w:p>
    <w:p w14:paraId="53B00725">
      <w:pPr>
        <w:keepNext w:val="0"/>
        <w:keepLines w:val="0"/>
        <w:pageBreakBefore w:val="0"/>
        <w:tabs>
          <w:tab w:val="left" w:pos="630"/>
        </w:tabs>
        <w:kinsoku/>
        <w:wordWrap/>
        <w:overflowPunct/>
        <w:topLinePunct w:val="0"/>
        <w:autoSpaceDE/>
        <w:autoSpaceDN/>
        <w:bidi w:val="0"/>
        <w:adjustRightInd w:val="0"/>
        <w:snapToGrid w:val="0"/>
        <w:spacing w:line="560" w:lineRule="exact"/>
        <w:jc w:val="center"/>
        <w:textAlignment w:val="auto"/>
        <w:rPr>
          <w:rFonts w:ascii="方正小标宋_GBK" w:eastAsia="方正小标宋_GBK"/>
          <w:sz w:val="44"/>
          <w:szCs w:val="44"/>
        </w:rPr>
      </w:pPr>
      <w:bookmarkStart w:id="7" w:name="_Hlk137125618"/>
      <w:r>
        <w:rPr>
          <w:rFonts w:hint="eastAsia" w:ascii="仿宋_GB2312" w:hAnsi="仿宋_GB2312" w:eastAsia="仿宋_GB2312" w:cs="仿宋_GB2312"/>
          <w:bCs/>
          <w:color w:val="000000"/>
          <w:kern w:val="0"/>
          <w:sz w:val="32"/>
          <w:szCs w:val="32"/>
        </w:rPr>
        <w:t>（</w:t>
      </w:r>
      <w:r>
        <w:rPr>
          <w:rFonts w:hint="eastAsia" w:ascii="仿宋_GB2312" w:hAnsi="宋体" w:eastAsia="仿宋_GB2312"/>
          <w:sz w:val="32"/>
          <w:szCs w:val="32"/>
          <w:highlight w:val="none"/>
          <w:lang w:val="en-US" w:eastAsia="zh-CN"/>
        </w:rPr>
        <w:t xml:space="preserve">2005年4月18日发布  </w:t>
      </w:r>
      <w:r>
        <w:rPr>
          <w:rFonts w:hint="eastAsia" w:ascii="仿宋_GB2312" w:hAnsi="仿宋_GB2312" w:eastAsia="仿宋_GB2312" w:cs="仿宋_GB2312"/>
          <w:bCs/>
          <w:color w:val="000000"/>
          <w:kern w:val="0"/>
          <w:sz w:val="32"/>
          <w:szCs w:val="32"/>
          <w:lang w:val="en-US" w:eastAsia="zh-CN"/>
        </w:rPr>
        <w:t>2024年11月14日</w:t>
      </w:r>
      <w:r>
        <w:rPr>
          <w:rFonts w:hint="eastAsia" w:ascii="仿宋_GB2312" w:hAnsi="仿宋_GB2312" w:eastAsia="仿宋_GB2312" w:cs="仿宋_GB2312"/>
          <w:bCs/>
          <w:color w:val="000000"/>
          <w:kern w:val="0"/>
          <w:sz w:val="32"/>
          <w:szCs w:val="32"/>
        </w:rPr>
        <w:t>第</w:t>
      </w:r>
      <w:r>
        <w:rPr>
          <w:rFonts w:hint="eastAsia" w:ascii="仿宋_GB2312" w:hAnsi="仿宋_GB2312" w:eastAsia="仿宋_GB2312" w:cs="仿宋_GB2312"/>
          <w:bCs/>
          <w:color w:val="000000"/>
          <w:kern w:val="0"/>
          <w:sz w:val="32"/>
          <w:szCs w:val="32"/>
          <w:lang w:val="en-US" w:eastAsia="zh-CN"/>
        </w:rPr>
        <w:t>29</w:t>
      </w:r>
      <w:r>
        <w:rPr>
          <w:rFonts w:hint="eastAsia" w:ascii="仿宋_GB2312" w:hAnsi="仿宋_GB2312" w:eastAsia="仿宋_GB2312" w:cs="仿宋_GB2312"/>
          <w:bCs/>
          <w:color w:val="000000"/>
          <w:kern w:val="0"/>
          <w:sz w:val="32"/>
          <w:szCs w:val="32"/>
        </w:rPr>
        <w:t>次院长办公会议修订</w:t>
      </w:r>
      <w:r>
        <w:rPr>
          <w:rFonts w:hint="eastAsia" w:ascii="仿宋_GB2312" w:hAnsi="仿宋_GB2312" w:eastAsia="仿宋_GB2312" w:cs="仿宋_GB2312"/>
          <w:bCs/>
          <w:color w:val="000000"/>
          <w:kern w:val="0"/>
          <w:sz w:val="32"/>
          <w:szCs w:val="32"/>
          <w:lang w:val="en-US" w:eastAsia="zh-CN"/>
        </w:rPr>
        <w:t xml:space="preserve">  </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val="en-US" w:eastAsia="zh-CN"/>
        </w:rPr>
        <w:t>11</w:t>
      </w:r>
      <w:r>
        <w:rPr>
          <w:rFonts w:hint="eastAsia" w:ascii="仿宋_GB2312" w:eastAsia="仿宋_GB2312"/>
          <w:sz w:val="32"/>
          <w:szCs w:val="32"/>
        </w:rPr>
        <w:t>月</w:t>
      </w:r>
      <w:r>
        <w:rPr>
          <w:rFonts w:hint="eastAsia" w:ascii="仿宋_GB2312" w:eastAsia="仿宋_GB2312"/>
          <w:sz w:val="32"/>
          <w:szCs w:val="32"/>
          <w:lang w:val="en-US" w:eastAsia="zh-CN"/>
        </w:rPr>
        <w:t>18</w:t>
      </w:r>
      <w:bookmarkStart w:id="8" w:name="_GoBack"/>
      <w:bookmarkEnd w:id="8"/>
      <w:r>
        <w:rPr>
          <w:rFonts w:hint="eastAsia" w:ascii="仿宋_GB2312" w:eastAsia="仿宋_GB2312"/>
          <w:sz w:val="32"/>
          <w:szCs w:val="32"/>
        </w:rPr>
        <w:t>日发布</w:t>
      </w:r>
      <w:r>
        <w:rPr>
          <w:rFonts w:hint="eastAsia" w:ascii="仿宋_GB2312" w:hAnsi="仿宋_GB2312" w:eastAsia="仿宋_GB2312" w:cs="仿宋_GB2312"/>
          <w:bCs/>
          <w:color w:val="000000"/>
          <w:kern w:val="0"/>
          <w:sz w:val="32"/>
          <w:szCs w:val="32"/>
          <w:lang w:val="en-US" w:eastAsia="zh-CN"/>
        </w:rPr>
        <w:t>）</w:t>
      </w:r>
      <w:bookmarkEnd w:id="7"/>
    </w:p>
    <w:p w14:paraId="2423302D">
      <w:pPr>
        <w:pStyle w:val="43"/>
        <w:keepNext w:val="0"/>
        <w:keepLines w:val="0"/>
        <w:pageBreakBefore w:val="0"/>
        <w:kinsoku/>
        <w:wordWrap/>
        <w:overflowPunct/>
        <w:topLinePunct w:val="0"/>
        <w:autoSpaceDE/>
        <w:autoSpaceDN/>
        <w:bidi w:val="0"/>
        <w:spacing w:before="156" w:after="156" w:line="560" w:lineRule="exact"/>
        <w:ind w:left="0" w:leftChars="0" w:firstLine="0" w:firstLineChars="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总则</w:t>
      </w:r>
    </w:p>
    <w:p w14:paraId="4524E831">
      <w:pPr>
        <w:keepNext w:val="0"/>
        <w:keepLines w:val="0"/>
        <w:pageBreakBefore w:val="0"/>
        <w:kinsoku/>
        <w:wordWrap/>
        <w:overflowPunct/>
        <w:topLinePunct w:val="0"/>
        <w:autoSpaceDE/>
        <w:autoSpaceDN/>
        <w:bidi w:val="0"/>
        <w:adjustRightInd w:val="0"/>
        <w:snapToGrid w:val="0"/>
        <w:spacing w:before="50" w:after="50"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sz w:val="32"/>
          <w:szCs w:val="32"/>
        </w:rPr>
        <w:t xml:space="preserve">  为进一步规范我院财务行为，加强财务管理和监督，建立健全学校内部财务的约束机制，提高资金使用效益，促进学校各项事业的发展，根据《高等学校财务制度》（财教〔2022〕128号），结合学院具体情况，特制定本办法。</w:t>
      </w:r>
    </w:p>
    <w:p w14:paraId="0DAFCCE3">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sz w:val="32"/>
          <w:szCs w:val="32"/>
        </w:rPr>
        <w:t xml:space="preserve">  本办法适用于北京青年政治学院非独立核算二级单位及学院所属独立核算单位。</w:t>
      </w:r>
    </w:p>
    <w:p w14:paraId="1A6456C6">
      <w:pPr>
        <w:keepNext w:val="0"/>
        <w:keepLines w:val="0"/>
        <w:pageBreakBefore w:val="0"/>
        <w:kinsoku/>
        <w:wordWrap/>
        <w:overflowPunct/>
        <w:topLinePunct w:val="0"/>
        <w:autoSpaceDE/>
        <w:autoSpaceDN/>
        <w:bidi w:val="0"/>
        <w:adjustRightInd w:val="0"/>
        <w:snapToGrid w:val="0"/>
        <w:spacing w:before="50" w:after="50"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第三条</w:t>
      </w:r>
      <w:r>
        <w:rPr>
          <w:rFonts w:hint="eastAsia" w:ascii="仿宋_GB2312" w:hAnsi="仿宋_GB2312" w:eastAsia="仿宋_GB2312" w:cs="仿宋_GB2312"/>
          <w:sz w:val="32"/>
          <w:szCs w:val="32"/>
        </w:rPr>
        <w:t xml:space="preserve">  学院财务管理的基本原则是：执行国家有关法律、法规和财务规章制度；坚持勤俭办学的方针；正确处理事业发展和资金供给的关系，社会效益和经济效益的关系，国家、集体和个人三者利益关系。</w:t>
      </w:r>
    </w:p>
    <w:p w14:paraId="2522DF35">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第四条</w:t>
      </w:r>
      <w:r>
        <w:rPr>
          <w:rFonts w:hint="eastAsia" w:ascii="仿宋_GB2312" w:hAnsi="仿宋_GB2312" w:eastAsia="仿宋_GB2312" w:cs="仿宋_GB2312"/>
          <w:sz w:val="32"/>
          <w:szCs w:val="32"/>
        </w:rPr>
        <w:t xml:space="preserve">  学院财务管理的主要任务是：合理编制学院预算，严格预算执行，完整、准确编制学院决算报告和财务报告，真实反映学院预算执行情况、财务状况和运行情况；依法多渠道筹集资金，努力节约支出；建立健全学院财务制度，加强经济核算，全面实施绩效管理，提高资金使用效益；加强资产管理，真实完整地反映资产使用状况，合理配置和有效利用资产，防止资产流失；建立健全内部控制体系，加强对学院经济活动的财务控制和监督，防止财务风险。</w:t>
      </w:r>
    </w:p>
    <w:p w14:paraId="213C2791">
      <w:pPr>
        <w:pStyle w:val="43"/>
        <w:keepNext w:val="0"/>
        <w:keepLines w:val="0"/>
        <w:pageBreakBefore w:val="0"/>
        <w:kinsoku/>
        <w:wordWrap/>
        <w:overflowPunct/>
        <w:topLinePunct w:val="0"/>
        <w:autoSpaceDE/>
        <w:autoSpaceDN/>
        <w:bidi w:val="0"/>
        <w:spacing w:before="156" w:after="156" w:line="560" w:lineRule="exact"/>
        <w:ind w:left="0" w:leftChars="0" w:firstLine="0" w:firstLineChars="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财务管理体制</w:t>
      </w:r>
    </w:p>
    <w:p w14:paraId="7670641A">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第五条</w:t>
      </w:r>
      <w:r>
        <w:rPr>
          <w:rFonts w:hint="eastAsia" w:ascii="仿宋_GB2312" w:hAnsi="仿宋_GB2312" w:eastAsia="仿宋_GB2312" w:cs="仿宋_GB2312"/>
          <w:sz w:val="32"/>
          <w:szCs w:val="32"/>
        </w:rPr>
        <w:t xml:space="preserve">  学院实行“统一领导，集中管理”的财务管理体制。</w:t>
      </w:r>
    </w:p>
    <w:p w14:paraId="4E618480">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第六条</w:t>
      </w:r>
      <w:r>
        <w:rPr>
          <w:rFonts w:hint="eastAsia" w:ascii="仿宋_GB2312" w:hAnsi="仿宋_GB2312" w:eastAsia="仿宋_GB2312" w:cs="仿宋_GB2312"/>
          <w:sz w:val="32"/>
          <w:szCs w:val="32"/>
        </w:rPr>
        <w:t xml:space="preserve">  学院财务工作实行党委领导下的院长负责制。</w:t>
      </w:r>
    </w:p>
    <w:p w14:paraId="7E73F622">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第七条</w:t>
      </w:r>
      <w:r>
        <w:rPr>
          <w:rFonts w:hint="eastAsia" w:ascii="仿宋_GB2312" w:hAnsi="仿宋_GB2312" w:eastAsia="仿宋_GB2312" w:cs="仿宋_GB2312"/>
          <w:sz w:val="32"/>
          <w:szCs w:val="32"/>
        </w:rPr>
        <w:t xml:space="preserve">  学院财务处作为学院一级财务管理机构，配备专业化一级财务机构负责人，在院长和分管院领导领导下，统一管理学院财务工作。</w:t>
      </w:r>
    </w:p>
    <w:p w14:paraId="23966E77">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第八条</w:t>
      </w:r>
      <w:r>
        <w:rPr>
          <w:rFonts w:hint="eastAsia" w:ascii="仿宋_GB2312" w:hAnsi="仿宋_GB2312" w:eastAsia="仿宋_GB2312" w:cs="仿宋_GB2312"/>
          <w:sz w:val="32"/>
          <w:szCs w:val="32"/>
        </w:rPr>
        <w:t xml:space="preserve"> 学院校内非独立法人单位因工作需要设置的财务机构，应作为学院的二级财务管理机构。二级财务管理机构应遵守和执行学院统一制定的财务规章制度，并接受学院一级财务机构的统一领导、监督和检查。</w:t>
      </w:r>
    </w:p>
    <w:p w14:paraId="4F0A563E">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第九条</w:t>
      </w:r>
      <w:r>
        <w:rPr>
          <w:rFonts w:hint="eastAsia" w:ascii="仿宋_GB2312" w:hAnsi="仿宋_GB2312" w:eastAsia="仿宋_GB2312" w:cs="仿宋_GB2312"/>
          <w:sz w:val="32"/>
          <w:szCs w:val="32"/>
        </w:rPr>
        <w:t xml:space="preserve"> 学院财务管理机构配备专职财务、会计人员。财务、会计人员应具备与其工作岗位相适应的专业能力。院内二级财务管理机构负责人的任免、调动或者撤换，应当征求学院一级财务管理机构意见。</w:t>
      </w:r>
    </w:p>
    <w:p w14:paraId="4ADAA299">
      <w:pPr>
        <w:pStyle w:val="43"/>
        <w:keepNext w:val="0"/>
        <w:keepLines w:val="0"/>
        <w:pageBreakBefore w:val="0"/>
        <w:kinsoku/>
        <w:wordWrap/>
        <w:overflowPunct/>
        <w:topLinePunct w:val="0"/>
        <w:autoSpaceDE/>
        <w:autoSpaceDN/>
        <w:bidi w:val="0"/>
        <w:spacing w:before="156" w:after="156" w:line="560" w:lineRule="exact"/>
        <w:ind w:left="0" w:leftChars="0" w:firstLine="0" w:firstLineChars="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预算管理</w:t>
      </w:r>
    </w:p>
    <w:p w14:paraId="36CCE2BD">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第十条</w:t>
      </w:r>
      <w:r>
        <w:rPr>
          <w:rFonts w:hint="eastAsia" w:ascii="仿宋_GB2312" w:hAnsi="仿宋_GB2312" w:eastAsia="仿宋_GB2312" w:cs="仿宋_GB2312"/>
          <w:sz w:val="32"/>
          <w:szCs w:val="32"/>
        </w:rPr>
        <w:t xml:space="preserve"> 学院预算是根据学院各项事业发展计划和任务编制的年度财务收支计划，预算由预算收入和预算支出组成。学院的所有收入支出都应纳入预算。</w:t>
      </w:r>
    </w:p>
    <w:p w14:paraId="3BDB5D05">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第十一条</w:t>
      </w:r>
      <w:r>
        <w:rPr>
          <w:rFonts w:hint="eastAsia" w:ascii="仿宋_GB2312" w:hAnsi="仿宋_GB2312" w:eastAsia="仿宋_GB2312" w:cs="仿宋_GB2312"/>
          <w:sz w:val="32"/>
          <w:szCs w:val="32"/>
        </w:rPr>
        <w:t xml:space="preserve"> 学院预算编制应当遵循“量入为出、收支平衡”的原则。收入预算编制应当积极稳妥；支出预算编制应当统筹兼顾、保证重点、勤俭节约。</w:t>
      </w:r>
    </w:p>
    <w:p w14:paraId="72897C3D">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第十二条</w:t>
      </w:r>
      <w:r>
        <w:rPr>
          <w:rFonts w:hint="eastAsia" w:ascii="仿宋_GB2312" w:hAnsi="仿宋_GB2312" w:eastAsia="仿宋_GB2312" w:cs="仿宋_GB2312"/>
          <w:sz w:val="32"/>
          <w:szCs w:val="32"/>
        </w:rPr>
        <w:t xml:space="preserve"> 学院参考以前年度预算执行、预算绩效评价结果、结转和结余情况，根据国家宏观调控总体要求、预算年度事业发展目标、计划与财力可能，以及年度收支增减因素和措施，按照预算编制的规定编制预算草案。</w:t>
      </w:r>
    </w:p>
    <w:p w14:paraId="2DAF5403">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学院预算应当自求收支平衡，</w:t>
      </w:r>
      <w:r>
        <w:rPr>
          <w:rFonts w:hint="eastAsia" w:ascii="仿宋_GB2312" w:hAnsi="仿宋_GB2312" w:eastAsia="仿宋_GB2312" w:cs="仿宋_GB2312"/>
          <w:sz w:val="32"/>
          <w:szCs w:val="32"/>
          <w:highlight w:val="none"/>
        </w:rPr>
        <w:t>不得编制赤字预算。</w:t>
      </w:r>
    </w:p>
    <w:p w14:paraId="19A47C66">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第十三条</w:t>
      </w:r>
      <w:r>
        <w:rPr>
          <w:rFonts w:hint="eastAsia" w:ascii="仿宋_GB2312" w:hAnsi="仿宋_GB2312" w:eastAsia="仿宋_GB2312" w:cs="仿宋_GB2312"/>
          <w:sz w:val="32"/>
          <w:szCs w:val="32"/>
        </w:rPr>
        <w:t xml:space="preserve"> 学院预算编制程序</w:t>
      </w:r>
    </w:p>
    <w:p w14:paraId="310997E7">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院年度部门预算编制程序为：财务处根据上级单位下发政策文件及学院实际情况测算控制数，上报上级主管部门；上级主管部门核定下达正式预算控制数；财务处根据下达的控制数进行调整、修改，编制预算草案，经学院研究同意，报上级主管部门，经法定程序审核批复后执行。</w:t>
      </w:r>
    </w:p>
    <w:p w14:paraId="07642206">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院内所属各级单位预算的审批程序为：各部门、各单位提出预算建议数，由财务处汇总编制院内预算，经院长办公会和党委常委会批准，财务处向各部门、各单位下达预算批复通知后实施。</w:t>
      </w:r>
    </w:p>
    <w:p w14:paraId="416817E6">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第十四条</w:t>
      </w:r>
      <w:r>
        <w:rPr>
          <w:rFonts w:hint="eastAsia" w:ascii="仿宋_GB2312" w:hAnsi="仿宋_GB2312" w:eastAsia="仿宋_GB2312" w:cs="仿宋_GB2312"/>
          <w:sz w:val="32"/>
          <w:szCs w:val="32"/>
        </w:rPr>
        <w:t xml:space="preserve"> 学院对分配给各部门、各单位的预算经费，采用“总额控制、节俭使用、不得超支、结余收回”的原则。经批准的预算，非经法定程序，不得调整。各部门、各单位的支出必须以批准的预算为依据，未列入预算的不得支出。在预算执行中，对于必须进行的预算调整，应当履行学院相应的预算调整程序。</w:t>
      </w:r>
    </w:p>
    <w:p w14:paraId="57443005">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第十五条</w:t>
      </w:r>
      <w:r>
        <w:rPr>
          <w:rFonts w:hint="eastAsia" w:ascii="仿宋_GB2312" w:hAnsi="仿宋_GB2312" w:eastAsia="仿宋_GB2312" w:cs="仿宋_GB2312"/>
          <w:sz w:val="32"/>
          <w:szCs w:val="32"/>
        </w:rPr>
        <w:t xml:space="preserve"> 决算是学院预算收支和结余的年度执行结果。学院按照规定编制年度决算草案，报主管部门审核汇总后提交财政部门审批。</w:t>
      </w:r>
    </w:p>
    <w:p w14:paraId="712A1E2B">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第十六条</w:t>
      </w:r>
      <w:r>
        <w:rPr>
          <w:rFonts w:hint="eastAsia" w:ascii="仿宋_GB2312" w:hAnsi="仿宋_GB2312" w:eastAsia="仿宋_GB2312" w:cs="仿宋_GB2312"/>
          <w:sz w:val="32"/>
          <w:szCs w:val="32"/>
        </w:rPr>
        <w:t xml:space="preserve"> 学院应加强决算审核与分析，保证决算数据的真实、准确，规范决算管理工作。学院应全面加强预算绩效管理，提高资金使用效益。</w:t>
      </w:r>
    </w:p>
    <w:p w14:paraId="1D97D0CB">
      <w:pPr>
        <w:pStyle w:val="43"/>
        <w:keepNext w:val="0"/>
        <w:keepLines w:val="0"/>
        <w:pageBreakBefore w:val="0"/>
        <w:kinsoku/>
        <w:wordWrap/>
        <w:overflowPunct/>
        <w:topLinePunct w:val="0"/>
        <w:autoSpaceDE/>
        <w:autoSpaceDN/>
        <w:bidi w:val="0"/>
        <w:spacing w:before="156" w:after="156" w:line="560" w:lineRule="exact"/>
        <w:ind w:left="0" w:leftChars="0" w:firstLine="0" w:firstLineChars="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收入管理</w:t>
      </w:r>
    </w:p>
    <w:p w14:paraId="2B763331">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第十七条</w:t>
      </w:r>
      <w:r>
        <w:rPr>
          <w:rFonts w:hint="eastAsia" w:ascii="仿宋_GB2312" w:hAnsi="仿宋_GB2312" w:eastAsia="仿宋_GB2312" w:cs="仿宋_GB2312"/>
          <w:sz w:val="32"/>
          <w:szCs w:val="32"/>
        </w:rPr>
        <w:t xml:space="preserve"> 收入是指学院开展教学、科研及其他活动依法取得的非偿还性资金。</w:t>
      </w:r>
    </w:p>
    <w:p w14:paraId="36091041">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第十八条</w:t>
      </w:r>
      <w:r>
        <w:rPr>
          <w:rFonts w:hint="eastAsia" w:ascii="仿宋_GB2312" w:hAnsi="仿宋_GB2312" w:eastAsia="仿宋_GB2312" w:cs="仿宋_GB2312"/>
          <w:sz w:val="32"/>
          <w:szCs w:val="32"/>
        </w:rPr>
        <w:t xml:space="preserve"> 学院收入包括：</w:t>
      </w:r>
    </w:p>
    <w:p w14:paraId="66EB100B">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（一）财政补助收入，即学院从同级政府财政部门取得的各类财政拨款。</w:t>
      </w:r>
    </w:p>
    <w:p w14:paraId="2320CE01">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1.财政教育拨款，即学院从本级财政部门取得的各类财政教育拨款。</w:t>
      </w:r>
    </w:p>
    <w:p w14:paraId="717401D3">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2.财政科研拨款，即学院从本级财政部门取得的各类财政科研拨款。</w:t>
      </w:r>
    </w:p>
    <w:p w14:paraId="0B22CC28">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3.财政其他拨款，即学院从本级财政部门取得的本条上述拨款范围以外的财政拨款。</w:t>
      </w:r>
    </w:p>
    <w:p w14:paraId="58A3C027">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（二）事业收入，即学院开展专业业务活动及其辅助活动取得的现金流入。</w:t>
      </w:r>
    </w:p>
    <w:p w14:paraId="4C0A4C3E">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1.教学事业收入，指学院开展教学及其辅助活动取得的收入，包括：通过学历和非学历教育向单位或学生个人收取的学费、住宿费、委托培养费、考试考务费、培训费和其他教育事业收入。</w:t>
      </w:r>
    </w:p>
    <w:p w14:paraId="160B38D2">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按照国家有关规定应当上缴国库或者财政专户的资金，不计入教育事业收入；从财政专户核拨给学校的资金和经核准不上缴国库或财政专户的资金，计入教育事业收入。</w:t>
      </w:r>
    </w:p>
    <w:p w14:paraId="425CBFFD">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2.科研事业收入，指学院开展科研及其辅助活动所取得的收入，包括：通过承接科技项目，开展科研协作，进行科技咨询所取得的收入。</w:t>
      </w:r>
    </w:p>
    <w:p w14:paraId="3B67B0AB">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（三）上级补助收入，即学院从主管部门和上级单位取得的非财政补助收入。</w:t>
      </w:r>
    </w:p>
    <w:p w14:paraId="757B8E37">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（四）附属单位上缴收入，即学院取得附属独立核算单位根据有关规定上缴的收入。</w:t>
      </w:r>
    </w:p>
    <w:p w14:paraId="413A4D48">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rPr>
        <w:t>（五）经营收入，即学院在教学、科研及其辅助活动之外开展非独立核算经营活动取得的收入。</w:t>
      </w:r>
    </w:p>
    <w:p w14:paraId="47643BEA">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（六）其他收入，即本条上述规定范围以外的各项收入，包括投资收益、利息收入、租金收入、捐赠收入、非本级财政补助收入等。</w:t>
      </w:r>
    </w:p>
    <w:p w14:paraId="189D1CE5">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第十九条</w:t>
      </w:r>
      <w:r>
        <w:rPr>
          <w:rFonts w:hint="eastAsia" w:ascii="仿宋_GB2312" w:hAnsi="仿宋_GB2312" w:eastAsia="仿宋_GB2312" w:cs="仿宋_GB2312"/>
          <w:sz w:val="32"/>
          <w:szCs w:val="32"/>
        </w:rPr>
        <w:t xml:space="preserve"> 学院收入应当合法合规。各项收费应当严格执行国家规定的收费范围和标准，并使用合法票据；各项收入应当全部纳入学院预算，统一核算，统一管理，未纳入预算的收入不得安排支出。</w:t>
      </w:r>
    </w:p>
    <w:p w14:paraId="382A18E0">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第二十条</w:t>
      </w:r>
      <w:r>
        <w:rPr>
          <w:rFonts w:hint="eastAsia" w:ascii="仿宋_GB2312" w:hAnsi="仿宋_GB2312" w:eastAsia="仿宋_GB2312" w:cs="仿宋_GB2312"/>
          <w:sz w:val="32"/>
          <w:szCs w:val="32"/>
        </w:rPr>
        <w:t xml:space="preserve">  学院对按照规定上缴国库或者财政专户的资金，应当按照国库集中收缴的有关规定及时足额上缴，不得隐瞒、滞留、截留、占用、挪用、拖欠或坐支。</w:t>
      </w:r>
    </w:p>
    <w:p w14:paraId="7F2F4051">
      <w:pPr>
        <w:keepNext w:val="0"/>
        <w:keepLines w:val="0"/>
        <w:pageBreakBefore w:val="0"/>
        <w:kinsoku/>
        <w:wordWrap/>
        <w:overflowPunct/>
        <w:topLinePunct w:val="0"/>
        <w:autoSpaceDE/>
        <w:autoSpaceDN/>
        <w:bidi w:val="0"/>
        <w:adjustRightInd w:val="0"/>
        <w:snapToGrid w:val="0"/>
        <w:spacing w:before="50" w:after="50" w:line="56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五</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支出管理</w:t>
      </w:r>
    </w:p>
    <w:p w14:paraId="082E3E8C">
      <w:pPr>
        <w:keepNext w:val="0"/>
        <w:keepLines w:val="0"/>
        <w:pageBreakBefore w:val="0"/>
        <w:kinsoku/>
        <w:wordWrap/>
        <w:overflowPunct/>
        <w:topLinePunct w:val="0"/>
        <w:autoSpaceDE/>
        <w:autoSpaceDN/>
        <w:bidi w:val="0"/>
        <w:adjustRightInd w:val="0"/>
        <w:snapToGrid w:val="0"/>
        <w:spacing w:before="50" w:after="50"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第二十一条</w:t>
      </w:r>
      <w:r>
        <w:rPr>
          <w:rFonts w:hint="eastAsia" w:ascii="仿宋_GB2312" w:hAnsi="仿宋_GB2312" w:eastAsia="仿宋_GB2312" w:cs="仿宋_GB2312"/>
          <w:sz w:val="32"/>
          <w:szCs w:val="32"/>
        </w:rPr>
        <w:t xml:space="preserve"> 支出是指学院开展教学、科研及其他活动发生的资金耗费和损失。</w:t>
      </w:r>
    </w:p>
    <w:p w14:paraId="7CD29530">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第二十二条</w:t>
      </w:r>
      <w:r>
        <w:rPr>
          <w:rFonts w:hint="eastAsia" w:ascii="仿宋_GB2312" w:hAnsi="仿宋_GB2312" w:eastAsia="仿宋_GB2312" w:cs="仿宋_GB2312"/>
          <w:sz w:val="32"/>
          <w:szCs w:val="32"/>
        </w:rPr>
        <w:t xml:space="preserve"> 学院支出包括：</w:t>
      </w:r>
    </w:p>
    <w:p w14:paraId="6A4DD323">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（一）事业支出，即学院开展教学、科研及其辅助活动发生的基本支出和项目支出。</w:t>
      </w:r>
    </w:p>
    <w:p w14:paraId="3B44CE3D">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基本支出，是指学院为保障其正常运转、完成教学科研和其他日常工作任务所发生的支出，包括人员经费和公用经费；项目支出，是指学院为完成其特定的工作任务和事业发展目标所发生的支出。</w:t>
      </w:r>
    </w:p>
    <w:p w14:paraId="5BFA79C6">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（二）经营支出，即学院在教学、科研及其辅助活动之外开展非独立核算经营活动发生的支出。经营支出应当与经营收入配比。</w:t>
      </w:r>
    </w:p>
    <w:p w14:paraId="783429CC">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（三）对附属单位补助支出，即学院用财政补助收入之外的收入对附属单位补助发生的支出。</w:t>
      </w:r>
    </w:p>
    <w:p w14:paraId="13961AE7">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（四）上缴上级支出，即学院按照财政部门和主管部门的规定上缴上级单位的支出。</w:t>
      </w:r>
    </w:p>
    <w:p w14:paraId="50012A6A">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（五）其他支出，即本条上述规定范围以外的各项支出。包括利息支出、捐赠支出等。</w:t>
      </w:r>
    </w:p>
    <w:p w14:paraId="60516081">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第二十三条</w:t>
      </w:r>
      <w:r>
        <w:rPr>
          <w:rFonts w:hint="eastAsia" w:ascii="仿宋_GB2312" w:hAnsi="仿宋_GB2312" w:eastAsia="仿宋_GB2312" w:cs="仿宋_GB2312"/>
          <w:sz w:val="32"/>
          <w:szCs w:val="32"/>
        </w:rPr>
        <w:t xml:space="preserve"> 学院将各项支出全部纳入学校预算，建立健全支出管理制度。学院实施项目库管理，未纳入项目库的项目一律不得安排预算。</w:t>
      </w:r>
    </w:p>
    <w:p w14:paraId="5F115C72">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第二十四条</w:t>
      </w:r>
      <w:r>
        <w:rPr>
          <w:rFonts w:hint="eastAsia" w:ascii="仿宋_GB2312" w:hAnsi="仿宋_GB2312" w:eastAsia="仿宋_GB2312" w:cs="仿宋_GB2312"/>
          <w:sz w:val="32"/>
          <w:szCs w:val="32"/>
        </w:rPr>
        <w:t xml:space="preserve"> 学院应加强支出管理，厉行节约，不得虚列虚报，支出应严格执行国家和北京市有关财务规章制度规定的开支范围及开支标准。</w:t>
      </w:r>
    </w:p>
    <w:p w14:paraId="2F94416E">
      <w:pPr>
        <w:keepNext w:val="0"/>
        <w:keepLines w:val="0"/>
        <w:pageBreakBefore w:val="0"/>
        <w:kinsoku/>
        <w:wordWrap/>
        <w:overflowPunct/>
        <w:topLinePunct w:val="0"/>
        <w:autoSpaceDE/>
        <w:autoSpaceDN/>
        <w:bidi w:val="0"/>
        <w:adjustRightInd w:val="0"/>
        <w:snapToGrid w:val="0"/>
        <w:spacing w:before="50" w:after="50" w:line="56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六</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结余管理</w:t>
      </w:r>
    </w:p>
    <w:p w14:paraId="5F68E1AF">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第二十五条</w:t>
      </w:r>
      <w:r>
        <w:rPr>
          <w:rFonts w:hint="eastAsia" w:ascii="仿宋_GB2312" w:hAnsi="仿宋_GB2312" w:eastAsia="仿宋_GB2312" w:cs="仿宋_GB2312"/>
          <w:sz w:val="32"/>
          <w:szCs w:val="32"/>
        </w:rPr>
        <w:t xml:space="preserve"> 结转和结余是指学院年度收入与支出相抵后的余额。结转资金是指当年预算已执行但未完成，或者因故未执行，下一年度需要按照原用途继续使用的资金。结余资金是指当年预算工作目标已完成，或者因故终止，当年剩余的资金。经营收支结转和结余应当单独反映。</w:t>
      </w:r>
    </w:p>
    <w:p w14:paraId="06DDF151">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第二十六条</w:t>
      </w:r>
      <w:r>
        <w:rPr>
          <w:rFonts w:hint="eastAsia" w:ascii="仿宋_GB2312" w:hAnsi="仿宋_GB2312" w:eastAsia="仿宋_GB2312" w:cs="仿宋_GB2312"/>
          <w:sz w:val="32"/>
          <w:szCs w:val="32"/>
        </w:rPr>
        <w:t xml:space="preserve"> 学院财政拨款结转和结余的管理按照国家和北京市有关规定执行。</w:t>
      </w:r>
    </w:p>
    <w:p w14:paraId="675F0F43">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第二十七条</w:t>
      </w:r>
      <w:r>
        <w:rPr>
          <w:rFonts w:hint="eastAsia" w:ascii="仿宋_GB2312" w:hAnsi="仿宋_GB2312" w:eastAsia="仿宋_GB2312" w:cs="仿宋_GB2312"/>
          <w:sz w:val="32"/>
          <w:szCs w:val="32"/>
        </w:rPr>
        <w:t xml:space="preserve"> 非财政拨款结余可以按照国家和北京市有关规定提取职工福利基金，剩余部分用于弥补以后年度单位收支差额；国家另有规定的，从其规定。</w:t>
      </w:r>
    </w:p>
    <w:p w14:paraId="1F27BAD1">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第二十八条</w:t>
      </w:r>
      <w:r>
        <w:rPr>
          <w:rFonts w:hint="eastAsia" w:ascii="仿宋_GB2312" w:hAnsi="仿宋_GB2312" w:eastAsia="仿宋_GB2312" w:cs="仿宋_GB2312"/>
          <w:sz w:val="32"/>
          <w:szCs w:val="32"/>
        </w:rPr>
        <w:t xml:space="preserve"> 加强非财政拨款结余的管理，盘活存量，统筹安排、合理使用，支出不得超出非财政拨款结余规模。</w:t>
      </w:r>
    </w:p>
    <w:p w14:paraId="1E295A98">
      <w:pPr>
        <w:keepNext w:val="0"/>
        <w:keepLines w:val="0"/>
        <w:pageBreakBefore w:val="0"/>
        <w:kinsoku/>
        <w:wordWrap/>
        <w:overflowPunct/>
        <w:topLinePunct w:val="0"/>
        <w:autoSpaceDE/>
        <w:autoSpaceDN/>
        <w:bidi w:val="0"/>
        <w:adjustRightInd w:val="0"/>
        <w:snapToGrid w:val="0"/>
        <w:spacing w:before="50" w:after="50" w:line="56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七</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专用基金管理</w:t>
      </w:r>
    </w:p>
    <w:p w14:paraId="1A8CE314">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第二十九条 </w:t>
      </w:r>
      <w:r>
        <w:rPr>
          <w:rFonts w:hint="eastAsia" w:ascii="仿宋_GB2312" w:hAnsi="仿宋_GB2312" w:eastAsia="仿宋_GB2312" w:cs="仿宋_GB2312"/>
          <w:sz w:val="32"/>
          <w:szCs w:val="32"/>
        </w:rPr>
        <w:t>专用基金是指学院按照规定提取或者设置的有专门用途的资金。</w:t>
      </w:r>
    </w:p>
    <w:p w14:paraId="0842E9C6">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第三十条 </w:t>
      </w:r>
      <w:r>
        <w:rPr>
          <w:rFonts w:hint="eastAsia" w:ascii="仿宋_GB2312" w:hAnsi="仿宋_GB2312" w:eastAsia="仿宋_GB2312" w:cs="仿宋_GB2312"/>
          <w:sz w:val="32"/>
          <w:szCs w:val="32"/>
        </w:rPr>
        <w:t>专用基金管理应当遵循先提后用、专款专用的原则，支出不得超出基金规模。</w:t>
      </w:r>
    </w:p>
    <w:p w14:paraId="3442F4B7">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第三十一条 </w:t>
      </w:r>
      <w:r>
        <w:rPr>
          <w:rFonts w:hint="eastAsia" w:ascii="仿宋_GB2312" w:hAnsi="仿宋_GB2312" w:eastAsia="仿宋_GB2312" w:cs="仿宋_GB2312"/>
          <w:sz w:val="32"/>
          <w:szCs w:val="32"/>
        </w:rPr>
        <w:t>专用基金包括：职工福利基金、学生奖助基金和其他专用基金。</w:t>
      </w:r>
    </w:p>
    <w:p w14:paraId="1B7CEBEC">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（一）职工福利基金，是指按照非财政拨款结余的一定比例提取以及按照其他规定提取转入，用于单位职工的集体福利设施、集体福利待遇等的资金。</w:t>
      </w:r>
    </w:p>
    <w:p w14:paraId="34C615AD">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学生奖助基金，是指按照国家有关规定，按照事业收入的一定比例提取，在事业支出的相关科目中列支，用于学费减免、国家助学贷款风险补偿、勤工助学、校内无息借款、校内奖助学金和特殊困难补助等的资金。</w:t>
      </w:r>
    </w:p>
    <w:p w14:paraId="611BE950">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（三）其他专用基金，是指按照其他有关规定，根据事业发展需要提取或者设置的其他专用资金，包括留本基金等。</w:t>
      </w:r>
    </w:p>
    <w:p w14:paraId="70F24DC2">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第三十二条</w:t>
      </w:r>
      <w:r>
        <w:rPr>
          <w:rFonts w:hint="eastAsia" w:ascii="仿宋_GB2312" w:hAnsi="仿宋_GB2312" w:eastAsia="仿宋_GB2312" w:cs="仿宋_GB2312"/>
          <w:sz w:val="32"/>
          <w:szCs w:val="32"/>
        </w:rPr>
        <w:t>　学院将专用基金纳入预算管理，结合实际需要按照规定提取，保持合理规模，提高使用效益。</w:t>
      </w:r>
    </w:p>
    <w:p w14:paraId="380C6D4E">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第三十三条</w:t>
      </w:r>
      <w:r>
        <w:rPr>
          <w:rFonts w:hint="eastAsia" w:ascii="仿宋_GB2312" w:hAnsi="仿宋_GB2312" w:eastAsia="仿宋_GB2312" w:cs="仿宋_GB2312"/>
          <w:sz w:val="32"/>
          <w:szCs w:val="32"/>
        </w:rPr>
        <w:t>　各项基金的提取比例和管理办法，国家有统一规定的，按照统一规定执行；没有统一规定的，根据主管部门会同本级财政部门文件确定。</w:t>
      </w:r>
    </w:p>
    <w:p w14:paraId="6895FB1C">
      <w:pPr>
        <w:keepNext w:val="0"/>
        <w:keepLines w:val="0"/>
        <w:pageBreakBefore w:val="0"/>
        <w:kinsoku/>
        <w:wordWrap/>
        <w:overflowPunct/>
        <w:topLinePunct w:val="0"/>
        <w:autoSpaceDE/>
        <w:autoSpaceDN/>
        <w:bidi w:val="0"/>
        <w:adjustRightInd w:val="0"/>
        <w:snapToGrid w:val="0"/>
        <w:spacing w:before="50" w:after="50" w:line="56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八</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资产管理</w:t>
      </w:r>
    </w:p>
    <w:p w14:paraId="2EFC549D">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第三十四条</w:t>
      </w:r>
      <w:r>
        <w:rPr>
          <w:rFonts w:hint="eastAsia" w:ascii="仿宋_GB2312" w:hAnsi="仿宋_GB2312" w:eastAsia="仿宋_GB2312" w:cs="仿宋_GB2312"/>
          <w:sz w:val="32"/>
          <w:szCs w:val="32"/>
        </w:rPr>
        <w:t xml:space="preserve"> 资产是指学院依法直接支配的各类经济资源。包括资产包括流动资产、固定资产、在建工程、无形资产、对外投资、公共基础设施、政府储备物资、文物文化资产、保障性住房等。</w:t>
      </w:r>
    </w:p>
    <w:p w14:paraId="5E0B0E17">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第三十五条</w:t>
      </w:r>
      <w:r>
        <w:rPr>
          <w:rFonts w:hint="eastAsia" w:ascii="仿宋_GB2312" w:hAnsi="仿宋_GB2312" w:eastAsia="仿宋_GB2312" w:cs="仿宋_GB2312"/>
          <w:sz w:val="32"/>
          <w:szCs w:val="32"/>
        </w:rPr>
        <w:t>　资产管理部门建立健全单位资产管理制度，明确资产使用人和管理人的岗位责任，按照国家规定设置国有资产台账，加强和规范资产配置、使用和处置管理，维护资产安全完整，提高资产使用效率。涉及资产评估的，按照国家有关规定执行。</w:t>
      </w:r>
    </w:p>
    <w:p w14:paraId="4BD09B65">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资产管理部门应当汇总编制学院行政事业性国有资产管理情况报告。</w:t>
      </w:r>
    </w:p>
    <w:p w14:paraId="6EFE400C">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资产管理部门应当定期或者不定期对资产进行盘点、对账。出现资产盘盈盘亏的，应当按照财务、会计和资产管理制度有关规定处理，做到账实相符和账账相符。</w:t>
      </w:r>
    </w:p>
    <w:p w14:paraId="106FF781">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资产管理部门对需要办理权属登记的资产应当依法及时办理。</w:t>
      </w:r>
    </w:p>
    <w:p w14:paraId="033926E6">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第三十六条</w:t>
      </w:r>
      <w:r>
        <w:rPr>
          <w:rFonts w:hint="eastAsia" w:ascii="仿宋_GB2312" w:hAnsi="仿宋_GB2312" w:eastAsia="仿宋_GB2312" w:cs="仿宋_GB2312"/>
          <w:sz w:val="32"/>
          <w:szCs w:val="32"/>
        </w:rPr>
        <w:t>　资产管理部门应当根据依法履行职能和事业发展的需要，结合资产存量、资产配置标准、绩效目标和财政承受能力配置资产。优先通过调剂方式配置资产。不能调剂的，可以采用购置、建设、租用等方式。</w:t>
      </w:r>
    </w:p>
    <w:p w14:paraId="7B732B7A">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第三十七条</w:t>
      </w:r>
      <w:r>
        <w:rPr>
          <w:rFonts w:hint="eastAsia" w:ascii="仿宋_GB2312" w:hAnsi="仿宋_GB2312" w:eastAsia="仿宋_GB2312" w:cs="仿宋_GB2312"/>
          <w:sz w:val="32"/>
          <w:szCs w:val="32"/>
        </w:rPr>
        <w:t>　流动资产是指可以在一年以内变现或者耗用的资产，包括现金、各种存款、应收及预付款项、存货等。</w:t>
      </w:r>
    </w:p>
    <w:p w14:paraId="0136FBD8">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前款所称存货是指学院在开展教学、科研及其他活动中为耗用或出售而储存的资产，包括各类材料、燃料、包装物和低值易耗品以及未达到固定资产标准的用具、装具、动植物等。</w:t>
      </w:r>
    </w:p>
    <w:p w14:paraId="699D9749">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学院货币性资产损失核销，应当按规定经主管部门审核同意后报本级财政部门审批。</w:t>
      </w:r>
    </w:p>
    <w:p w14:paraId="516B49AA">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第三十八条</w:t>
      </w:r>
      <w:r>
        <w:rPr>
          <w:rFonts w:hint="eastAsia" w:ascii="仿宋_GB2312" w:hAnsi="仿宋_GB2312" w:eastAsia="仿宋_GB2312" w:cs="仿宋_GB2312"/>
          <w:sz w:val="32"/>
          <w:szCs w:val="32"/>
        </w:rPr>
        <w:t>　固定资产是指使用期限超过一年，单位价值在1000元以上，并在使用过程中基本保持原有物质形态的资产。单位价值虽未达到规定标准，但是耐用时间在一年以上的大批同类物资，作为固定资产管理。</w:t>
      </w:r>
    </w:p>
    <w:p w14:paraId="7CE9855E">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第三十九条</w:t>
      </w:r>
      <w:r>
        <w:rPr>
          <w:rFonts w:hint="eastAsia" w:ascii="仿宋_GB2312" w:hAnsi="仿宋_GB2312" w:eastAsia="仿宋_GB2312" w:cs="仿宋_GB2312"/>
          <w:sz w:val="32"/>
          <w:szCs w:val="32"/>
        </w:rPr>
        <w:t>　在建工程是指已经发生必要支出，但尚未达到交付使用状态的建设工程。</w:t>
      </w:r>
    </w:p>
    <w:p w14:paraId="3A19084D">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在建工程达到交付使用状态时，应当按照规定办理工程竣工财务决算和资产交付使用，期限最长不得超过1年。</w:t>
      </w:r>
    </w:p>
    <w:p w14:paraId="51561898">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第四十条</w:t>
      </w:r>
      <w:r>
        <w:rPr>
          <w:rFonts w:hint="eastAsia" w:ascii="仿宋_GB2312" w:hAnsi="仿宋_GB2312" w:eastAsia="仿宋_GB2312" w:cs="仿宋_GB2312"/>
          <w:sz w:val="32"/>
          <w:szCs w:val="32"/>
        </w:rPr>
        <w:t>　无形资产是指不具有实物形态而能为使用者提供某种权利的资产，包括专利权、商标权、著作权、土地使用权、非专利技术以及其他财产权利。</w:t>
      </w:r>
    </w:p>
    <w:p w14:paraId="58523393">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学院转让无形资产取得的收入、取得无形资产发生的支出，应当按照国家有关规定处理。</w:t>
      </w:r>
    </w:p>
    <w:p w14:paraId="05CE4DE1">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为学院对持有的科技成果，可按规定自主决定转让、许可或者作价投资，转化科技成果所获得的收入全部留归学院。</w:t>
      </w:r>
    </w:p>
    <w:p w14:paraId="1D8CF60A">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第四十一条</w:t>
      </w:r>
      <w:r>
        <w:rPr>
          <w:rFonts w:hint="eastAsia" w:ascii="仿宋_GB2312" w:hAnsi="仿宋_GB2312" w:eastAsia="仿宋_GB2312" w:cs="仿宋_GB2312"/>
          <w:sz w:val="32"/>
          <w:szCs w:val="32"/>
          <w:highlight w:val="none"/>
        </w:rPr>
        <w:t>　对外投资是指学院依法利用货币资金、实物、无形资产等方式向其他单位的投资。</w:t>
      </w:r>
    </w:p>
    <w:p w14:paraId="40CE287F">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院严格控制对外投资，利用国有资产对外投资应有利于事业发展和实现国有资产保值增值，符合国家有关规定，经可行性研究和集体决策，按照规定的权限和程序进行。不得使用财政拨款及其结余进行对外投资，不得从事股票、期货、基金、企业债券等投资。国家另有规定的除外。</w:t>
      </w:r>
    </w:p>
    <w:p w14:paraId="534C2401">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学院对外投资形成的股权及其相关权益管理责任，按照国家有关规定将对外投资形成的股权纳入经营性国有资产集中统一监管体系。</w:t>
      </w:r>
    </w:p>
    <w:p w14:paraId="7021B34B">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第四十二条</w:t>
      </w:r>
      <w:r>
        <w:rPr>
          <w:rFonts w:hint="eastAsia" w:ascii="仿宋_GB2312" w:hAnsi="仿宋_GB2312" w:eastAsia="仿宋_GB2312" w:cs="仿宋_GB2312"/>
          <w:sz w:val="32"/>
          <w:szCs w:val="32"/>
        </w:rPr>
        <w:t>　学院资产管理部门置应当遵循公开、公平、公正和竞争、择优的原则，严格履行相关审批程序。</w:t>
      </w:r>
    </w:p>
    <w:p w14:paraId="32591FE1">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学院出租、出借资产，应当按照国家和北京市有关规定严格履行相关审批程序。</w:t>
      </w:r>
    </w:p>
    <w:p w14:paraId="0CCA14D3">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第四十三条</w:t>
      </w:r>
      <w:r>
        <w:rPr>
          <w:rFonts w:hint="eastAsia" w:ascii="仿宋_GB2312" w:hAnsi="仿宋_GB2312" w:eastAsia="仿宋_GB2312" w:cs="仿宋_GB2312"/>
          <w:sz w:val="32"/>
          <w:szCs w:val="32"/>
        </w:rPr>
        <w:t>　学院资产管理部门在确保安全使用的前提下，积极开展“公务舱”相关业务。</w:t>
      </w:r>
    </w:p>
    <w:p w14:paraId="11FE3A01">
      <w:pPr>
        <w:keepNext w:val="0"/>
        <w:keepLines w:val="0"/>
        <w:pageBreakBefore w:val="0"/>
        <w:kinsoku/>
        <w:wordWrap/>
        <w:overflowPunct/>
        <w:topLinePunct w:val="0"/>
        <w:autoSpaceDE/>
        <w:autoSpaceDN/>
        <w:bidi w:val="0"/>
        <w:adjustRightInd w:val="0"/>
        <w:snapToGrid w:val="0"/>
        <w:spacing w:before="50" w:after="50" w:line="56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九</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负债管理</w:t>
      </w:r>
    </w:p>
    <w:p w14:paraId="76C32CB9">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第四十四条</w:t>
      </w:r>
      <w:r>
        <w:rPr>
          <w:rFonts w:hint="eastAsia" w:ascii="仿宋_GB2312" w:hAnsi="仿宋_GB2312" w:eastAsia="仿宋_GB2312" w:cs="仿宋_GB2312"/>
          <w:sz w:val="32"/>
          <w:szCs w:val="32"/>
        </w:rPr>
        <w:t>　负债是指学院所承担的能以货币计量，需要以资产或劳务偿还的债务。</w:t>
      </w:r>
    </w:p>
    <w:p w14:paraId="7AD9D7ED">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第四十五条</w:t>
      </w:r>
      <w:r>
        <w:rPr>
          <w:rFonts w:hint="eastAsia" w:ascii="仿宋_GB2312" w:hAnsi="仿宋_GB2312" w:eastAsia="仿宋_GB2312" w:cs="仿宋_GB2312"/>
          <w:sz w:val="32"/>
          <w:szCs w:val="32"/>
        </w:rPr>
        <w:t>　学院的负债包括借入款项、应付款项、暂存款项、应缴款项等。</w:t>
      </w:r>
    </w:p>
    <w:p w14:paraId="496972EF">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借入款项是指学院向银行等金融机构借入的各类款项。</w:t>
      </w:r>
    </w:p>
    <w:p w14:paraId="5322F1EB">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应付款项包括学院应付职工薪酬、应付票据、应付账款和其他应付款等款项。</w:t>
      </w:r>
    </w:p>
    <w:p w14:paraId="15CB3CEE">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暂存款项包括预收账款等款项。</w:t>
      </w:r>
    </w:p>
    <w:p w14:paraId="1FF69835">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应缴款项包括学院按照国家和北京市有关规定收取的应当上缴国库或者财政专户的资金、应缴税费，以及其他应当上缴的款项。</w:t>
      </w:r>
    </w:p>
    <w:p w14:paraId="035580C7">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第四十六条</w:t>
      </w:r>
      <w:r>
        <w:rPr>
          <w:rFonts w:hint="eastAsia" w:ascii="仿宋_GB2312" w:hAnsi="仿宋_GB2312" w:eastAsia="仿宋_GB2312" w:cs="仿宋_GB2312"/>
          <w:sz w:val="32"/>
          <w:szCs w:val="32"/>
        </w:rPr>
        <w:t>　对不同性质的负债分类管理，及时清理并按照规定办理结算，保证各项负债在规定期限内偿还。</w:t>
      </w:r>
    </w:p>
    <w:p w14:paraId="792D1863">
      <w:pPr>
        <w:pStyle w:val="43"/>
        <w:keepNext w:val="0"/>
        <w:keepLines w:val="0"/>
        <w:pageBreakBefore w:val="0"/>
        <w:kinsoku/>
        <w:wordWrap/>
        <w:overflowPunct/>
        <w:topLinePunct w:val="0"/>
        <w:autoSpaceDE/>
        <w:autoSpaceDN/>
        <w:bidi w:val="0"/>
        <w:spacing w:before="156" w:after="156" w:line="560" w:lineRule="exact"/>
        <w:ind w:firstLine="64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rPr>
        <w:t>第四十七条</w:t>
      </w:r>
      <w:r>
        <w:rPr>
          <w:rFonts w:hint="eastAsia" w:ascii="仿宋_GB2312" w:hAnsi="仿宋_GB2312" w:eastAsia="仿宋_GB2312" w:cs="仿宋_GB2312"/>
          <w:sz w:val="32"/>
          <w:szCs w:val="32"/>
          <w:highlight w:val="none"/>
        </w:rPr>
        <w:t>　学院建立健全财务风险预警和控制机制，规范和加强借入款项管理，如实反映依法举借债务情况，严格执行审批程序，不得违反规定融资或者提供担保，不得以任何方式直接或间接替地方政府及其部门融资或者提供担保，严禁新增地方政府隐性债务。</w:t>
      </w:r>
    </w:p>
    <w:p w14:paraId="52F6833F">
      <w:pPr>
        <w:pStyle w:val="43"/>
        <w:keepNext w:val="0"/>
        <w:keepLines w:val="0"/>
        <w:pageBreakBefore w:val="0"/>
        <w:kinsoku/>
        <w:wordWrap/>
        <w:overflowPunct/>
        <w:topLinePunct w:val="0"/>
        <w:autoSpaceDE/>
        <w:autoSpaceDN/>
        <w:bidi w:val="0"/>
        <w:spacing w:before="156" w:after="156" w:line="560" w:lineRule="exact"/>
        <w:ind w:left="0" w:leftChars="0" w:firstLine="0" w:firstLineChars="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十</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财务清算</w:t>
      </w:r>
    </w:p>
    <w:p w14:paraId="16262BC2">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第四十八条</w:t>
      </w:r>
      <w:r>
        <w:rPr>
          <w:rFonts w:hint="eastAsia" w:ascii="仿宋_GB2312" w:hAnsi="仿宋_GB2312" w:eastAsia="仿宋_GB2312" w:cs="仿宋_GB2312"/>
          <w:sz w:val="32"/>
          <w:szCs w:val="32"/>
        </w:rPr>
        <w:t xml:space="preserve"> 学院的财务清算，根据法律和上级的有关规定办理。 </w:t>
      </w:r>
    </w:p>
    <w:p w14:paraId="3CB2F513">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第四十九条</w:t>
      </w:r>
      <w:r>
        <w:rPr>
          <w:rFonts w:hint="eastAsia" w:ascii="仿宋_GB2312" w:hAnsi="仿宋_GB2312" w:eastAsia="仿宋_GB2312" w:cs="仿宋_GB2312"/>
          <w:sz w:val="32"/>
          <w:szCs w:val="32"/>
        </w:rPr>
        <w:t xml:space="preserve"> 学院内部机构经学院批准发生划、转、撤、并时，应当进行财务清算。 </w:t>
      </w:r>
    </w:p>
    <w:p w14:paraId="3212B5E8">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第五十条</w:t>
      </w:r>
      <w:r>
        <w:rPr>
          <w:rFonts w:hint="eastAsia" w:ascii="仿宋_GB2312" w:hAnsi="仿宋_GB2312" w:eastAsia="仿宋_GB2312" w:cs="仿宋_GB2312"/>
          <w:sz w:val="32"/>
          <w:szCs w:val="32"/>
        </w:rPr>
        <w:t xml:space="preserve">  内部机构进行财务清算时，学院应成立清算工作组，对被清算单位的财务、财产、债权、债务等进行全面清理。核实各项财产、债权和债务账目，编制资产负债表、财产目录和债权、债务清单，提出财产作价依据和债权、债务的处理办法；做好国有资产的移交、接收、划转等工作，并妥善处理好各种遗留问题。 </w:t>
      </w:r>
    </w:p>
    <w:p w14:paraId="24D5F111">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第五十一条</w:t>
      </w:r>
      <w:r>
        <w:rPr>
          <w:rFonts w:hint="eastAsia" w:ascii="仿宋_GB2312" w:hAnsi="仿宋_GB2312" w:eastAsia="仿宋_GB2312" w:cs="仿宋_GB2312"/>
          <w:sz w:val="32"/>
          <w:szCs w:val="32"/>
        </w:rPr>
        <w:t xml:space="preserve"> 被划转撤并的内部机构财务清算结束后，经学院资产管理部门及相关部门审核并报主管财务的院领导批准，分别按照学院的相关规定办理。</w:t>
      </w:r>
    </w:p>
    <w:p w14:paraId="02B4EDF1">
      <w:pPr>
        <w:keepNext w:val="0"/>
        <w:keepLines w:val="0"/>
        <w:pageBreakBefore w:val="0"/>
        <w:kinsoku/>
        <w:wordWrap/>
        <w:overflowPunct/>
        <w:topLinePunct w:val="0"/>
        <w:autoSpaceDE/>
        <w:autoSpaceDN/>
        <w:bidi w:val="0"/>
        <w:adjustRightInd w:val="0"/>
        <w:snapToGrid w:val="0"/>
        <w:spacing w:before="50" w:after="50" w:line="560" w:lineRule="exact"/>
        <w:jc w:val="center"/>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十一</w:t>
      </w:r>
      <w:r>
        <w:rPr>
          <w:rFonts w:hint="eastAsia" w:ascii="黑体" w:hAnsi="黑体" w:eastAsia="黑体" w:cs="黑体"/>
          <w:b w:val="0"/>
          <w:bCs w:val="0"/>
          <w:sz w:val="32"/>
          <w:szCs w:val="32"/>
          <w:highlight w:val="none"/>
          <w:lang w:eastAsia="zh-CN"/>
        </w:rPr>
        <w:t>、</w:t>
      </w:r>
      <w:r>
        <w:rPr>
          <w:rFonts w:hint="eastAsia" w:ascii="黑体" w:hAnsi="黑体" w:eastAsia="黑体" w:cs="黑体"/>
          <w:b w:val="0"/>
          <w:bCs w:val="0"/>
          <w:sz w:val="32"/>
          <w:szCs w:val="32"/>
          <w:highlight w:val="none"/>
        </w:rPr>
        <w:t>报告和分析</w:t>
      </w:r>
    </w:p>
    <w:p w14:paraId="6FCC7A2B">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第五十二条</w:t>
      </w:r>
      <w:r>
        <w:rPr>
          <w:rFonts w:hint="eastAsia" w:ascii="仿宋_GB2312" w:hAnsi="仿宋_GB2312" w:eastAsia="仿宋_GB2312" w:cs="仿宋_GB2312"/>
          <w:sz w:val="32"/>
          <w:szCs w:val="32"/>
        </w:rPr>
        <w:t>　学院按国家和北京市有关规定向主管部门和财政部门以及其他有关的报告使用者提供财务报告、决算报告。为相关使用者提供满足需要的管理会计报告。</w:t>
      </w:r>
    </w:p>
    <w:p w14:paraId="79AE0FB8">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财务会计和预算会计要素的确认、计量、记录、报告遵循政府会计准则制度的规定。</w:t>
      </w:r>
    </w:p>
    <w:p w14:paraId="1F9DF7F7">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第五十三条</w:t>
      </w:r>
      <w:r>
        <w:rPr>
          <w:rFonts w:hint="eastAsia" w:ascii="仿宋_GB2312" w:hAnsi="仿宋_GB2312" w:eastAsia="仿宋_GB2312" w:cs="仿宋_GB2312"/>
          <w:sz w:val="32"/>
          <w:szCs w:val="32"/>
        </w:rPr>
        <w:t>　财务报告主要以权责发生制为基础编制，综合反映学院特定日期财务状况和一定时期运行情况等信息。</w:t>
      </w:r>
    </w:p>
    <w:p w14:paraId="76331DE1">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第五十四条</w:t>
      </w:r>
      <w:r>
        <w:rPr>
          <w:rFonts w:hint="eastAsia" w:ascii="仿宋_GB2312" w:hAnsi="仿宋_GB2312" w:eastAsia="仿宋_GB2312" w:cs="仿宋_GB2312"/>
          <w:sz w:val="32"/>
          <w:szCs w:val="32"/>
        </w:rPr>
        <w:t>　财务报告由财务报表和财务分析两部分组成。财务报表主要包括资产负债表、收入费用表等会计报表和报表附注。财务分析的内容主要包括财务状况分析、运行情况分析和财务管理情况等。</w:t>
      </w:r>
    </w:p>
    <w:p w14:paraId="7E8A3F1E">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第五十五条</w:t>
      </w:r>
      <w:r>
        <w:rPr>
          <w:rFonts w:hint="eastAsia" w:ascii="仿宋_GB2312" w:hAnsi="仿宋_GB2312" w:eastAsia="仿宋_GB2312" w:cs="仿宋_GB2312"/>
          <w:sz w:val="32"/>
          <w:szCs w:val="32"/>
        </w:rPr>
        <w:t>　决算报告主要以收付实现制为基础编制，综合反映学院年度预算收支执行结果等信息。</w:t>
      </w:r>
    </w:p>
    <w:p w14:paraId="66BF8C60">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第五十六条</w:t>
      </w:r>
      <w:r>
        <w:rPr>
          <w:rFonts w:hint="eastAsia" w:ascii="仿宋_GB2312" w:hAnsi="仿宋_GB2312" w:eastAsia="仿宋_GB2312" w:cs="仿宋_GB2312"/>
          <w:sz w:val="32"/>
          <w:szCs w:val="32"/>
        </w:rPr>
        <w:t>　决算报告由决算报表和决算分析两部分组成。决算报表主要包括收入支出表、财政拨款收入支出表等。决算分析的内容主要包括收支预算执行分析、资金使用效益分析和机构人员情况等。</w:t>
      </w:r>
    </w:p>
    <w:p w14:paraId="4B8ED631">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第五十七条</w:t>
      </w:r>
      <w:r>
        <w:rPr>
          <w:rFonts w:hint="eastAsia" w:ascii="仿宋_GB2312" w:hAnsi="仿宋_GB2312" w:eastAsia="仿宋_GB2312" w:cs="仿宋_GB2312"/>
          <w:sz w:val="32"/>
          <w:szCs w:val="32"/>
        </w:rPr>
        <w:t>　管理会计报告主要以提供决策和管理支持为目标，可根据学院相关使用者的需要编制，反映学院绩效管理、成本管理、内部控制、国有资产管理等情况。</w:t>
      </w:r>
    </w:p>
    <w:p w14:paraId="2E94A17C">
      <w:pPr>
        <w:keepNext w:val="0"/>
        <w:keepLines w:val="0"/>
        <w:pageBreakBefore w:val="0"/>
        <w:kinsoku/>
        <w:wordWrap/>
        <w:overflowPunct/>
        <w:topLinePunct w:val="0"/>
        <w:autoSpaceDE/>
        <w:autoSpaceDN/>
        <w:bidi w:val="0"/>
        <w:adjustRightInd w:val="0"/>
        <w:snapToGrid w:val="0"/>
        <w:spacing w:before="50" w:after="50" w:line="56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十二</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财务监督</w:t>
      </w:r>
    </w:p>
    <w:p w14:paraId="0B5EA96A">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第五十八条</w:t>
      </w:r>
      <w:r>
        <w:rPr>
          <w:rFonts w:hint="eastAsia" w:ascii="仿宋_GB2312" w:hAnsi="仿宋_GB2312" w:eastAsia="仿宋_GB2312" w:cs="仿宋_GB2312"/>
          <w:sz w:val="32"/>
          <w:szCs w:val="32"/>
        </w:rPr>
        <w:t>　财务监督的主要内容包括：</w:t>
      </w:r>
    </w:p>
    <w:p w14:paraId="06697ED0">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（一）预算编制、执行的规范性、合理性、有效性；报告的真实性、完整性、准确性；</w:t>
      </w:r>
    </w:p>
    <w:p w14:paraId="6688CDF0">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（二）各项收入和支出的合法性、合规性；</w:t>
      </w:r>
    </w:p>
    <w:p w14:paraId="67EEBA6D">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（三）结转和结余的管理情况；</w:t>
      </w:r>
    </w:p>
    <w:p w14:paraId="03C8375E">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（四）专用基金的管理情况；</w:t>
      </w:r>
    </w:p>
    <w:p w14:paraId="7DF8674E">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（五）资产管理的安全性、规范性、有效性；</w:t>
      </w:r>
    </w:p>
    <w:p w14:paraId="414D3488">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（六）负债的合规性和风险程度；</w:t>
      </w:r>
    </w:p>
    <w:p w14:paraId="741FEB3B">
      <w:pPr>
        <w:keepNext w:val="0"/>
        <w:keepLines w:val="0"/>
        <w:pageBreakBefore w:val="0"/>
        <w:kinsoku/>
        <w:wordWrap/>
        <w:overflowPunct/>
        <w:topLinePunct w:val="0"/>
        <w:autoSpaceDE/>
        <w:autoSpaceDN/>
        <w:bidi w:val="0"/>
        <w:adjustRightInd w:val="0"/>
        <w:snapToGrid w:val="0"/>
        <w:spacing w:before="50" w:after="50" w:line="56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（七）其他重要事项，包括对附属单位财务管理情况进行监督等。</w:t>
      </w:r>
    </w:p>
    <w:p w14:paraId="21E67EF3">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第五十九条</w:t>
      </w:r>
      <w:r>
        <w:rPr>
          <w:rFonts w:hint="eastAsia" w:ascii="仿宋_GB2312" w:hAnsi="仿宋_GB2312" w:eastAsia="仿宋_GB2312" w:cs="仿宋_GB2312"/>
          <w:sz w:val="32"/>
          <w:szCs w:val="32"/>
        </w:rPr>
        <w:t>　财务监督实行事前监督、事中监督、事后监督相结合，日常监督与专项监督相结合。</w:t>
      </w:r>
    </w:p>
    <w:p w14:paraId="6A42581C">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第六十条</w:t>
      </w:r>
      <w:r>
        <w:rPr>
          <w:rFonts w:hint="eastAsia" w:ascii="仿宋_GB2312" w:hAnsi="仿宋_GB2312" w:eastAsia="仿宋_GB2312" w:cs="仿宋_GB2312"/>
          <w:sz w:val="32"/>
          <w:szCs w:val="32"/>
        </w:rPr>
        <w:t>　学院建立健全内部控制制度、经济责任制度、财务信息披露制度等监督制度，依法公开财务信息，按规定编制和报送内部控制报告。</w:t>
      </w:r>
    </w:p>
    <w:p w14:paraId="7F84E0BB">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第六十一条</w:t>
      </w:r>
      <w:r>
        <w:rPr>
          <w:rFonts w:hint="eastAsia" w:ascii="仿宋_GB2312" w:hAnsi="仿宋_GB2312" w:eastAsia="仿宋_GB2312" w:cs="仿宋_GB2312"/>
          <w:sz w:val="32"/>
          <w:szCs w:val="32"/>
        </w:rPr>
        <w:t>　学院及所属各部门、各单位应遵守财经纪律和财务制度，依法接受主管部门和财政、审计部门的监督。</w:t>
      </w:r>
    </w:p>
    <w:p w14:paraId="638F8742">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第六十二条</w:t>
      </w:r>
      <w:r>
        <w:rPr>
          <w:rFonts w:hint="eastAsia" w:ascii="仿宋_GB2312" w:hAnsi="仿宋_GB2312" w:eastAsia="仿宋_GB2312" w:cs="仿宋_GB2312"/>
          <w:sz w:val="32"/>
          <w:szCs w:val="32"/>
        </w:rPr>
        <w:t>　学院各部门、各单位及工作人员存在违反本制度规定的行为，以及其他滥用职权、玩忽职守、徇私舞弊等违法违规行为的，依法追究相应责任。</w:t>
      </w:r>
    </w:p>
    <w:p w14:paraId="79E98B64">
      <w:pPr>
        <w:keepNext w:val="0"/>
        <w:keepLines w:val="0"/>
        <w:pageBreakBefore w:val="0"/>
        <w:kinsoku/>
        <w:wordWrap/>
        <w:overflowPunct/>
        <w:topLinePunct w:val="0"/>
        <w:autoSpaceDE/>
        <w:autoSpaceDN/>
        <w:bidi w:val="0"/>
        <w:adjustRightInd w:val="0"/>
        <w:snapToGrid w:val="0"/>
        <w:spacing w:before="50" w:after="50" w:line="56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十三</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rPr>
        <w:t>附则</w:t>
      </w:r>
    </w:p>
    <w:p w14:paraId="5949874D">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第六十三条</w:t>
      </w:r>
      <w:r>
        <w:rPr>
          <w:rFonts w:hint="eastAsia" w:ascii="仿宋_GB2312" w:hAnsi="仿宋_GB2312" w:eastAsia="仿宋_GB2312" w:cs="仿宋_GB2312"/>
          <w:sz w:val="32"/>
          <w:szCs w:val="32"/>
        </w:rPr>
        <w:t>　学院基本建设投资财务管理，执行本制度。但国家和北京市基本建设投资财务管理制度另有规定的，从其规定。</w:t>
      </w:r>
    </w:p>
    <w:p w14:paraId="6CC0154A">
      <w:pPr>
        <w:keepNext w:val="0"/>
        <w:keepLines w:val="0"/>
        <w:pageBreakBefore w:val="0"/>
        <w:kinsoku/>
        <w:wordWrap/>
        <w:overflowPunct/>
        <w:topLinePunct w:val="0"/>
        <w:autoSpaceDE/>
        <w:autoSpaceDN/>
        <w:bidi w:val="0"/>
        <w:adjustRightInd w:val="0"/>
        <w:snapToGrid w:val="0"/>
        <w:spacing w:before="50" w:after="50" w:line="560" w:lineRule="exact"/>
        <w:ind w:firstLine="643"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rPr>
        <w:t>第六十四条</w:t>
      </w:r>
      <w:r>
        <w:rPr>
          <w:rFonts w:hint="eastAsia" w:ascii="仿宋_GB2312" w:hAnsi="仿宋_GB2312" w:eastAsia="仿宋_GB2312" w:cs="仿宋_GB2312"/>
          <w:sz w:val="32"/>
          <w:szCs w:val="32"/>
          <w:highlight w:val="none"/>
        </w:rPr>
        <w:t xml:space="preserve"> 本办法未尽事宜参照《高等学校财务制度》（财教〔2022〕128号）规定执行。</w:t>
      </w:r>
    </w:p>
    <w:p w14:paraId="07A386C6">
      <w:pPr>
        <w:keepNext w:val="0"/>
        <w:keepLines w:val="0"/>
        <w:pageBreakBefore w:val="0"/>
        <w:kinsoku/>
        <w:wordWrap/>
        <w:overflowPunct/>
        <w:topLinePunct w:val="0"/>
        <w:autoSpaceDE/>
        <w:autoSpaceDN/>
        <w:bidi w:val="0"/>
        <w:adjustRightInd w:val="0"/>
        <w:snapToGrid w:val="0"/>
        <w:spacing w:before="50" w:after="50" w:line="560" w:lineRule="exact"/>
        <w:ind w:firstLine="643"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第六十五条</w:t>
      </w:r>
      <w:r>
        <w:rPr>
          <w:rFonts w:hint="eastAsia" w:ascii="仿宋_GB2312" w:hAnsi="仿宋_GB2312" w:eastAsia="仿宋_GB2312" w:cs="仿宋_GB2312"/>
          <w:sz w:val="32"/>
          <w:szCs w:val="32"/>
        </w:rPr>
        <w:t xml:space="preserve"> 本办法由财务处负责解释。</w:t>
      </w:r>
    </w:p>
    <w:p w14:paraId="05A3CBB8">
      <w:pPr>
        <w:keepNext w:val="0"/>
        <w:keepLines w:val="0"/>
        <w:pageBreakBefore w:val="0"/>
        <w:kinsoku/>
        <w:wordWrap/>
        <w:overflowPunct/>
        <w:topLinePunct w:val="0"/>
        <w:autoSpaceDE/>
        <w:autoSpaceDN/>
        <w:bidi w:val="0"/>
        <w:adjustRightInd w:val="0"/>
        <w:snapToGrid w:val="0"/>
        <w:spacing w:before="50" w:after="50" w:line="560" w:lineRule="exact"/>
        <w:ind w:firstLine="675"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第六十六条</w:t>
      </w:r>
      <w:r>
        <w:rPr>
          <w:rFonts w:hint="eastAsia" w:ascii="仿宋_GB2312" w:hAnsi="仿宋_GB2312" w:eastAsia="仿宋_GB2312" w:cs="仿宋_GB2312"/>
          <w:sz w:val="32"/>
          <w:szCs w:val="32"/>
        </w:rPr>
        <w:t xml:space="preserve"> </w:t>
      </w:r>
      <w:r>
        <w:rPr>
          <w:rFonts w:hint="eastAsia" w:ascii="仿宋_GB2312" w:hAnsi="宋体" w:eastAsia="仿宋_GB2312"/>
          <w:bCs/>
          <w:color w:val="000000"/>
          <w:sz w:val="32"/>
          <w:szCs w:val="32"/>
        </w:rPr>
        <w:t>本</w:t>
      </w:r>
      <w:r>
        <w:rPr>
          <w:rFonts w:hint="eastAsia" w:ascii="仿宋_GB2312" w:hAnsi="宋体" w:eastAsia="仿宋_GB2312"/>
          <w:bCs/>
          <w:color w:val="000000"/>
          <w:sz w:val="32"/>
          <w:szCs w:val="32"/>
          <w:lang w:val="en-US" w:eastAsia="zh-CN"/>
        </w:rPr>
        <w:t>办法</w:t>
      </w:r>
      <w:r>
        <w:rPr>
          <w:rFonts w:hint="eastAsia" w:ascii="仿宋_GB2312" w:hAnsi="宋体" w:eastAsia="仿宋_GB2312"/>
          <w:bCs/>
          <w:color w:val="000000"/>
          <w:sz w:val="32"/>
          <w:szCs w:val="32"/>
        </w:rPr>
        <w:t>自发布之日起执行</w:t>
      </w:r>
      <w:r>
        <w:rPr>
          <w:rFonts w:hint="eastAsia" w:ascii="仿宋_GB2312" w:hAnsi="仿宋_GB2312" w:eastAsia="仿宋_GB2312" w:cs="仿宋_GB2312"/>
          <w:sz w:val="32"/>
          <w:szCs w:val="32"/>
        </w:rPr>
        <w:t>。</w:t>
      </w:r>
    </w:p>
    <w:p w14:paraId="0C730730">
      <w:pPr>
        <w:keepNext w:val="0"/>
        <w:keepLines w:val="0"/>
        <w:pageBreakBefore w:val="0"/>
        <w:kinsoku/>
        <w:wordWrap/>
        <w:overflowPunct/>
        <w:topLinePunct w:val="0"/>
        <w:autoSpaceDE/>
        <w:autoSpaceDN/>
        <w:bidi w:val="0"/>
        <w:spacing w:line="560" w:lineRule="exact"/>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p>
    <w:tbl>
      <w:tblPr>
        <w:tblStyle w:val="15"/>
        <w:tblpPr w:leftFromText="180" w:rightFromText="180" w:vertAnchor="page" w:horzAnchor="margin" w:tblpY="14267"/>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844"/>
      </w:tblGrid>
      <w:tr w14:paraId="57F057E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c>
          <w:tcPr>
            <w:tcW w:w="9060" w:type="dxa"/>
            <w:noWrap w:val="0"/>
            <w:vAlign w:val="top"/>
          </w:tcPr>
          <w:p w14:paraId="22AA8296">
            <w:pPr>
              <w:ind w:firstLine="140" w:firstLineChars="50"/>
              <w:rPr>
                <w:rFonts w:hint="eastAsia"/>
                <w:sz w:val="28"/>
                <w:szCs w:val="28"/>
              </w:rPr>
            </w:pPr>
            <w:r>
              <w:rPr>
                <w:rFonts w:hint="eastAsia" w:ascii="仿宋_GB2312" w:eastAsia="仿宋_GB2312"/>
                <w:sz w:val="28"/>
                <w:szCs w:val="28"/>
              </w:rPr>
              <w:t>党政办公室                                20</w:t>
            </w:r>
            <w:r>
              <w:rPr>
                <w:rFonts w:ascii="仿宋_GB2312" w:eastAsia="仿宋_GB2312"/>
                <w:sz w:val="28"/>
                <w:szCs w:val="28"/>
              </w:rPr>
              <w:t>24</w:t>
            </w:r>
            <w:r>
              <w:rPr>
                <w:rFonts w:hint="eastAsia" w:ascii="仿宋_GB2312" w:eastAsia="仿宋_GB2312"/>
                <w:sz w:val="28"/>
                <w:szCs w:val="28"/>
              </w:rPr>
              <w:t>年1</w:t>
            </w:r>
            <w:r>
              <w:rPr>
                <w:rFonts w:hint="eastAsia" w:ascii="仿宋_GB2312" w:eastAsia="仿宋_GB2312"/>
                <w:sz w:val="28"/>
                <w:szCs w:val="28"/>
                <w:lang w:val="en-US" w:eastAsia="zh-CN"/>
              </w:rPr>
              <w:t>1</w:t>
            </w:r>
            <w:r>
              <w:rPr>
                <w:rFonts w:hint="eastAsia" w:ascii="仿宋_GB2312" w:eastAsia="仿宋_GB2312"/>
                <w:sz w:val="28"/>
                <w:szCs w:val="28"/>
              </w:rPr>
              <w:t>月1</w:t>
            </w:r>
            <w:r>
              <w:rPr>
                <w:rFonts w:hint="eastAsia" w:ascii="仿宋_GB2312" w:eastAsia="仿宋_GB2312"/>
                <w:sz w:val="28"/>
                <w:szCs w:val="28"/>
                <w:lang w:val="en-US" w:eastAsia="zh-CN"/>
              </w:rPr>
              <w:t>8</w:t>
            </w:r>
            <w:r>
              <w:rPr>
                <w:rFonts w:hint="eastAsia" w:ascii="仿宋_GB2312" w:eastAsia="仿宋_GB2312"/>
                <w:sz w:val="28"/>
                <w:szCs w:val="28"/>
              </w:rPr>
              <w:t>日印发</w:t>
            </w:r>
          </w:p>
        </w:tc>
      </w:tr>
    </w:tbl>
    <w:p w14:paraId="4EE80645">
      <w:pPr>
        <w:keepNext w:val="0"/>
        <w:keepLines w:val="0"/>
        <w:pageBreakBefore w:val="0"/>
        <w:widowControl/>
        <w:kinsoku/>
        <w:wordWrap/>
        <w:overflowPunct/>
        <w:topLinePunct w:val="0"/>
        <w:autoSpaceDE/>
        <w:autoSpaceDN/>
        <w:bidi w:val="0"/>
        <w:spacing w:after="4" w:line="560" w:lineRule="exact"/>
        <w:jc w:val="left"/>
        <w:textAlignment w:val="auto"/>
      </w:pPr>
    </w:p>
    <w:sectPr>
      <w:footerReference r:id="rId3" w:type="default"/>
      <w:footerReference r:id="rId4" w:type="even"/>
      <w:pgSz w:w="11906" w:h="16838"/>
      <w:pgMar w:top="2098" w:right="1474" w:bottom="1985"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5946963"/>
    </w:sdtPr>
    <w:sdtEndPr>
      <w:rPr>
        <w:rFonts w:asciiTheme="minorEastAsia" w:hAnsiTheme="minorEastAsia" w:eastAsiaTheme="minorEastAsia"/>
        <w:sz w:val="28"/>
        <w:szCs w:val="28"/>
      </w:rPr>
    </w:sdtEndPr>
    <w:sdtContent>
      <w:p w14:paraId="6E69BCCE">
        <w:pPr>
          <w:pStyle w:val="11"/>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9 -</w:t>
        </w:r>
        <w:r>
          <w:rPr>
            <w:rFonts w:asciiTheme="minorEastAsia" w:hAnsiTheme="minorEastAsia" w:eastAsiaTheme="min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5695001"/>
    </w:sdtPr>
    <w:sdtEndPr>
      <w:rPr>
        <w:rFonts w:asciiTheme="minorEastAsia" w:hAnsiTheme="minorEastAsia" w:eastAsiaTheme="minorEastAsia"/>
        <w:sz w:val="28"/>
        <w:szCs w:val="28"/>
      </w:rPr>
    </w:sdtEndPr>
    <w:sdtContent>
      <w:p w14:paraId="6B5FF13C">
        <w:pPr>
          <w:pStyle w:val="11"/>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2</w:t>
        </w:r>
        <w:r>
          <w:rPr>
            <w:rFonts w:asciiTheme="minorEastAsia" w:hAnsiTheme="minorEastAsia" w:eastAsiaTheme="minorEastAsia"/>
            <w:sz w:val="28"/>
            <w:szCs w:val="28"/>
          </w:rPr>
          <w:fldChar w:fldCharType="end"/>
        </w:r>
      </w:p>
    </w:sdtContent>
  </w:sdt>
  <w:p w14:paraId="1D38DB41">
    <w:pPr>
      <w:pStyle w:val="11"/>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NjZTI4MjU4N2RjZTk4NTJkZjdhYjk1NGM3MWNhYjEifQ=="/>
  </w:docVars>
  <w:rsids>
    <w:rsidRoot w:val="003B0CD6"/>
    <w:rsid w:val="00003EDE"/>
    <w:rsid w:val="0000539B"/>
    <w:rsid w:val="00026923"/>
    <w:rsid w:val="00040CC1"/>
    <w:rsid w:val="00086C7E"/>
    <w:rsid w:val="000B125E"/>
    <w:rsid w:val="000C00B7"/>
    <w:rsid w:val="00117913"/>
    <w:rsid w:val="00124259"/>
    <w:rsid w:val="00132924"/>
    <w:rsid w:val="00141836"/>
    <w:rsid w:val="00144A4A"/>
    <w:rsid w:val="001621D3"/>
    <w:rsid w:val="0016376D"/>
    <w:rsid w:val="00165E6E"/>
    <w:rsid w:val="001712CC"/>
    <w:rsid w:val="001972F1"/>
    <w:rsid w:val="001A1900"/>
    <w:rsid w:val="001B0A54"/>
    <w:rsid w:val="001D471A"/>
    <w:rsid w:val="00230290"/>
    <w:rsid w:val="00264522"/>
    <w:rsid w:val="00264DBE"/>
    <w:rsid w:val="002710B3"/>
    <w:rsid w:val="00271C51"/>
    <w:rsid w:val="002758A3"/>
    <w:rsid w:val="002B67AD"/>
    <w:rsid w:val="002F2E50"/>
    <w:rsid w:val="00302EBD"/>
    <w:rsid w:val="00336212"/>
    <w:rsid w:val="00354E2C"/>
    <w:rsid w:val="00390EC5"/>
    <w:rsid w:val="00396E03"/>
    <w:rsid w:val="003B0CD6"/>
    <w:rsid w:val="003B70F3"/>
    <w:rsid w:val="003C030F"/>
    <w:rsid w:val="003F2223"/>
    <w:rsid w:val="003F28E7"/>
    <w:rsid w:val="00404BC3"/>
    <w:rsid w:val="00420B4F"/>
    <w:rsid w:val="00492795"/>
    <w:rsid w:val="004B3EB3"/>
    <w:rsid w:val="004B674D"/>
    <w:rsid w:val="004E168F"/>
    <w:rsid w:val="004F3093"/>
    <w:rsid w:val="00516C9D"/>
    <w:rsid w:val="00533E58"/>
    <w:rsid w:val="005400FF"/>
    <w:rsid w:val="005436C0"/>
    <w:rsid w:val="00595090"/>
    <w:rsid w:val="005F0A01"/>
    <w:rsid w:val="005F21CC"/>
    <w:rsid w:val="00600DF4"/>
    <w:rsid w:val="0067245E"/>
    <w:rsid w:val="00674D04"/>
    <w:rsid w:val="0067718D"/>
    <w:rsid w:val="00685E3F"/>
    <w:rsid w:val="006B1E50"/>
    <w:rsid w:val="006B2732"/>
    <w:rsid w:val="006E29BD"/>
    <w:rsid w:val="00733A48"/>
    <w:rsid w:val="00783924"/>
    <w:rsid w:val="00793CF0"/>
    <w:rsid w:val="00797D4E"/>
    <w:rsid w:val="007A00C1"/>
    <w:rsid w:val="007E0DF1"/>
    <w:rsid w:val="00804A3F"/>
    <w:rsid w:val="0080635D"/>
    <w:rsid w:val="00806D8D"/>
    <w:rsid w:val="00824491"/>
    <w:rsid w:val="0086530B"/>
    <w:rsid w:val="008A10B2"/>
    <w:rsid w:val="008D6177"/>
    <w:rsid w:val="008D644C"/>
    <w:rsid w:val="008F6E5E"/>
    <w:rsid w:val="00944AF4"/>
    <w:rsid w:val="00982EA5"/>
    <w:rsid w:val="009C1917"/>
    <w:rsid w:val="009C3251"/>
    <w:rsid w:val="00A11970"/>
    <w:rsid w:val="00A40B89"/>
    <w:rsid w:val="00A62FF9"/>
    <w:rsid w:val="00AB730C"/>
    <w:rsid w:val="00AB7FC9"/>
    <w:rsid w:val="00AC2C13"/>
    <w:rsid w:val="00AF10D8"/>
    <w:rsid w:val="00AF22DF"/>
    <w:rsid w:val="00B12F8D"/>
    <w:rsid w:val="00B13AC4"/>
    <w:rsid w:val="00B45191"/>
    <w:rsid w:val="00B63457"/>
    <w:rsid w:val="00B713B8"/>
    <w:rsid w:val="00B802F2"/>
    <w:rsid w:val="00B96CFC"/>
    <w:rsid w:val="00BB6C0C"/>
    <w:rsid w:val="00BC521B"/>
    <w:rsid w:val="00C02884"/>
    <w:rsid w:val="00C03573"/>
    <w:rsid w:val="00C45B56"/>
    <w:rsid w:val="00C9285D"/>
    <w:rsid w:val="00CA10A4"/>
    <w:rsid w:val="00CC163C"/>
    <w:rsid w:val="00CD2036"/>
    <w:rsid w:val="00D17066"/>
    <w:rsid w:val="00D22B72"/>
    <w:rsid w:val="00D26171"/>
    <w:rsid w:val="00D338C9"/>
    <w:rsid w:val="00D367FD"/>
    <w:rsid w:val="00D545ED"/>
    <w:rsid w:val="00DA1991"/>
    <w:rsid w:val="00DC2CDA"/>
    <w:rsid w:val="00DE7FAB"/>
    <w:rsid w:val="00DF7931"/>
    <w:rsid w:val="00E010D6"/>
    <w:rsid w:val="00E27863"/>
    <w:rsid w:val="00E43CDB"/>
    <w:rsid w:val="00E44631"/>
    <w:rsid w:val="00E57937"/>
    <w:rsid w:val="00E61423"/>
    <w:rsid w:val="00E643C9"/>
    <w:rsid w:val="00E84CE1"/>
    <w:rsid w:val="00E87074"/>
    <w:rsid w:val="00E90120"/>
    <w:rsid w:val="00EA4574"/>
    <w:rsid w:val="00EA4669"/>
    <w:rsid w:val="00EC36EE"/>
    <w:rsid w:val="00EC6359"/>
    <w:rsid w:val="00ED240B"/>
    <w:rsid w:val="00EF0C91"/>
    <w:rsid w:val="00EF5C33"/>
    <w:rsid w:val="00F25F19"/>
    <w:rsid w:val="00F52EA4"/>
    <w:rsid w:val="00F6003D"/>
    <w:rsid w:val="00F946B3"/>
    <w:rsid w:val="00FA0426"/>
    <w:rsid w:val="00FD6783"/>
    <w:rsid w:val="00FE7314"/>
    <w:rsid w:val="00FF0C27"/>
    <w:rsid w:val="00FF7C37"/>
    <w:rsid w:val="01527049"/>
    <w:rsid w:val="062C4B29"/>
    <w:rsid w:val="07B06AF1"/>
    <w:rsid w:val="111937F1"/>
    <w:rsid w:val="1A174A00"/>
    <w:rsid w:val="1A2D1C1A"/>
    <w:rsid w:val="1E984833"/>
    <w:rsid w:val="2A4D5BE6"/>
    <w:rsid w:val="2D5C30CD"/>
    <w:rsid w:val="2DB068B7"/>
    <w:rsid w:val="2F8C6DE8"/>
    <w:rsid w:val="321500E2"/>
    <w:rsid w:val="3949332A"/>
    <w:rsid w:val="3F2E0941"/>
    <w:rsid w:val="474B5F10"/>
    <w:rsid w:val="52EB665E"/>
    <w:rsid w:val="5B40582A"/>
    <w:rsid w:val="5D0F3B77"/>
    <w:rsid w:val="6EC801D0"/>
    <w:rsid w:val="739647FD"/>
    <w:rsid w:val="74E65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0"/>
    <w:qFormat/>
    <w:uiPriority w:val="9"/>
    <w:pPr>
      <w:widowControl/>
      <w:spacing w:before="100" w:beforeAutospacing="1" w:after="100" w:afterAutospacing="1"/>
      <w:jc w:val="left"/>
      <w:outlineLvl w:val="1"/>
    </w:pPr>
    <w:rPr>
      <w:rFonts w:ascii="宋体" w:hAnsi="宋体"/>
      <w:b/>
      <w:bCs/>
      <w:kern w:val="0"/>
      <w:sz w:val="36"/>
      <w:szCs w:val="36"/>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35"/>
    <w:rPr>
      <w:rFonts w:ascii="Cambria" w:hAnsi="Cambria" w:eastAsia="黑体"/>
      <w:sz w:val="20"/>
      <w:szCs w:val="20"/>
    </w:rPr>
  </w:style>
  <w:style w:type="paragraph" w:styleId="5">
    <w:name w:val="Body Text"/>
    <w:basedOn w:val="1"/>
    <w:link w:val="24"/>
    <w:qFormat/>
    <w:uiPriority w:val="0"/>
    <w:pPr>
      <w:spacing w:after="120"/>
    </w:pPr>
  </w:style>
  <w:style w:type="paragraph" w:styleId="6">
    <w:name w:val="Body Text Indent"/>
    <w:basedOn w:val="1"/>
    <w:link w:val="25"/>
    <w:qFormat/>
    <w:uiPriority w:val="0"/>
    <w:pPr>
      <w:spacing w:after="120"/>
      <w:ind w:left="420" w:leftChars="200"/>
    </w:pPr>
    <w:rPr>
      <w:rFonts w:ascii="Calibri" w:hAnsi="Calibri"/>
      <w:sz w:val="18"/>
      <w:szCs w:val="18"/>
    </w:rPr>
  </w:style>
  <w:style w:type="paragraph" w:styleId="7">
    <w:name w:val="Plain Text"/>
    <w:basedOn w:val="1"/>
    <w:link w:val="38"/>
    <w:qFormat/>
    <w:uiPriority w:val="0"/>
    <w:rPr>
      <w:rFonts w:ascii="宋体" w:hAnsi="Courier New" w:eastAsia="仿宋_GB2312"/>
      <w:sz w:val="32"/>
      <w:szCs w:val="21"/>
    </w:rPr>
  </w:style>
  <w:style w:type="paragraph" w:styleId="8">
    <w:name w:val="Date"/>
    <w:basedOn w:val="1"/>
    <w:next w:val="1"/>
    <w:link w:val="26"/>
    <w:qFormat/>
    <w:uiPriority w:val="0"/>
    <w:pPr>
      <w:ind w:left="100" w:leftChars="2500"/>
    </w:pPr>
  </w:style>
  <w:style w:type="paragraph" w:styleId="9">
    <w:name w:val="Body Text Indent 2"/>
    <w:basedOn w:val="1"/>
    <w:link w:val="27"/>
    <w:qFormat/>
    <w:uiPriority w:val="0"/>
    <w:pPr>
      <w:spacing w:after="120" w:line="480" w:lineRule="auto"/>
      <w:ind w:left="420" w:leftChars="200"/>
    </w:pPr>
  </w:style>
  <w:style w:type="paragraph" w:styleId="10">
    <w:name w:val="Balloon Text"/>
    <w:basedOn w:val="1"/>
    <w:link w:val="39"/>
    <w:qFormat/>
    <w:uiPriority w:val="0"/>
    <w:rPr>
      <w:rFonts w:cs="宋体" w:asciiTheme="minorHAnsi" w:hAnsiTheme="minorHAnsi" w:eastAsiaTheme="minorEastAsia"/>
      <w:sz w:val="18"/>
      <w:szCs w:val="18"/>
    </w:rPr>
  </w:style>
  <w:style w:type="paragraph" w:styleId="11">
    <w:name w:val="footer"/>
    <w:basedOn w:val="1"/>
    <w:link w:val="23"/>
    <w:unhideWhenUsed/>
    <w:qFormat/>
    <w:uiPriority w:val="99"/>
    <w:pPr>
      <w:tabs>
        <w:tab w:val="center" w:pos="4153"/>
        <w:tab w:val="right" w:pos="8306"/>
      </w:tabs>
      <w:snapToGrid w:val="0"/>
      <w:jc w:val="left"/>
    </w:pPr>
    <w:rPr>
      <w:sz w:val="18"/>
      <w:szCs w:val="18"/>
    </w:rPr>
  </w:style>
  <w:style w:type="paragraph" w:styleId="12">
    <w:name w:val="header"/>
    <w:basedOn w:val="1"/>
    <w:link w:val="22"/>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Indent 3"/>
    <w:basedOn w:val="1"/>
    <w:link w:val="28"/>
    <w:qFormat/>
    <w:uiPriority w:val="0"/>
    <w:pPr>
      <w:spacing w:after="120"/>
      <w:ind w:left="420" w:leftChars="200"/>
    </w:pPr>
    <w:rPr>
      <w:sz w:val="16"/>
      <w:szCs w:val="16"/>
    </w:rPr>
  </w:style>
  <w:style w:type="paragraph" w:styleId="14">
    <w:name w:val="Normal (Web)"/>
    <w:basedOn w:val="1"/>
    <w:qFormat/>
    <w:uiPriority w:val="99"/>
    <w:pPr>
      <w:widowControl/>
      <w:spacing w:before="100" w:beforeAutospacing="1" w:after="100" w:afterAutospacing="1"/>
      <w:jc w:val="left"/>
    </w:pPr>
    <w:rPr>
      <w:rFonts w:ascii="宋体" w:hAnsi="宋体" w:cs="宋体"/>
      <w:kern w:val="0"/>
      <w:sz w:val="18"/>
      <w:szCs w:val="18"/>
    </w:rPr>
  </w:style>
  <w:style w:type="table" w:styleId="16">
    <w:name w:val="Table Grid"/>
    <w:basedOn w:val="1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qFormat/>
    <w:uiPriority w:val="0"/>
    <w:rPr>
      <w:rFonts w:cs="Times New Roman"/>
    </w:rPr>
  </w:style>
  <w:style w:type="character" w:styleId="19">
    <w:name w:val="line number"/>
    <w:qFormat/>
    <w:uiPriority w:val="0"/>
  </w:style>
  <w:style w:type="character" w:customStyle="1" w:styleId="20">
    <w:name w:val="标题 2 字符"/>
    <w:basedOn w:val="17"/>
    <w:link w:val="3"/>
    <w:qFormat/>
    <w:uiPriority w:val="9"/>
    <w:rPr>
      <w:rFonts w:ascii="宋体" w:hAnsi="宋体" w:eastAsia="宋体" w:cs="Times New Roman"/>
      <w:b/>
      <w:bCs/>
      <w:kern w:val="0"/>
      <w:sz w:val="36"/>
      <w:szCs w:val="36"/>
    </w:rPr>
  </w:style>
  <w:style w:type="character" w:customStyle="1" w:styleId="21">
    <w:name w:val="标题 1 字符"/>
    <w:basedOn w:val="17"/>
    <w:link w:val="2"/>
    <w:qFormat/>
    <w:uiPriority w:val="0"/>
    <w:rPr>
      <w:rFonts w:ascii="Times New Roman" w:hAnsi="Times New Roman" w:eastAsia="宋体" w:cs="Times New Roman"/>
      <w:b/>
      <w:bCs/>
      <w:kern w:val="44"/>
      <w:sz w:val="44"/>
      <w:szCs w:val="44"/>
    </w:rPr>
  </w:style>
  <w:style w:type="character" w:customStyle="1" w:styleId="22">
    <w:name w:val="页眉 字符"/>
    <w:basedOn w:val="17"/>
    <w:link w:val="12"/>
    <w:qFormat/>
    <w:uiPriority w:val="0"/>
    <w:rPr>
      <w:sz w:val="18"/>
      <w:szCs w:val="18"/>
    </w:rPr>
  </w:style>
  <w:style w:type="character" w:customStyle="1" w:styleId="23">
    <w:name w:val="页脚 字符"/>
    <w:basedOn w:val="17"/>
    <w:link w:val="11"/>
    <w:qFormat/>
    <w:uiPriority w:val="99"/>
    <w:rPr>
      <w:sz w:val="18"/>
      <w:szCs w:val="18"/>
    </w:rPr>
  </w:style>
  <w:style w:type="character" w:customStyle="1" w:styleId="24">
    <w:name w:val="正文文本 字符"/>
    <w:basedOn w:val="17"/>
    <w:link w:val="5"/>
    <w:qFormat/>
    <w:uiPriority w:val="0"/>
    <w:rPr>
      <w:rFonts w:ascii="Times New Roman" w:hAnsi="Times New Roman" w:eastAsia="宋体" w:cs="Times New Roman"/>
      <w:szCs w:val="24"/>
    </w:rPr>
  </w:style>
  <w:style w:type="character" w:customStyle="1" w:styleId="25">
    <w:name w:val="正文文本缩进 字符"/>
    <w:basedOn w:val="17"/>
    <w:link w:val="6"/>
    <w:qFormat/>
    <w:uiPriority w:val="0"/>
    <w:rPr>
      <w:rFonts w:ascii="Calibri" w:hAnsi="Calibri" w:eastAsia="宋体" w:cs="Times New Roman"/>
      <w:sz w:val="18"/>
      <w:szCs w:val="18"/>
    </w:rPr>
  </w:style>
  <w:style w:type="character" w:customStyle="1" w:styleId="26">
    <w:name w:val="日期 字符"/>
    <w:basedOn w:val="17"/>
    <w:link w:val="8"/>
    <w:qFormat/>
    <w:uiPriority w:val="0"/>
    <w:rPr>
      <w:rFonts w:ascii="Times New Roman" w:hAnsi="Times New Roman" w:eastAsia="宋体" w:cs="Times New Roman"/>
      <w:szCs w:val="24"/>
    </w:rPr>
  </w:style>
  <w:style w:type="character" w:customStyle="1" w:styleId="27">
    <w:name w:val="正文文本缩进 2 字符"/>
    <w:basedOn w:val="17"/>
    <w:link w:val="9"/>
    <w:qFormat/>
    <w:uiPriority w:val="0"/>
    <w:rPr>
      <w:rFonts w:ascii="Times New Roman" w:hAnsi="Times New Roman" w:eastAsia="宋体" w:cs="Times New Roman"/>
      <w:szCs w:val="24"/>
    </w:rPr>
  </w:style>
  <w:style w:type="character" w:customStyle="1" w:styleId="28">
    <w:name w:val="正文文本缩进 3 字符"/>
    <w:basedOn w:val="17"/>
    <w:link w:val="13"/>
    <w:qFormat/>
    <w:uiPriority w:val="0"/>
    <w:rPr>
      <w:rFonts w:ascii="Times New Roman" w:hAnsi="Times New Roman" w:eastAsia="宋体" w:cs="Times New Roman"/>
      <w:sz w:val="16"/>
      <w:szCs w:val="16"/>
    </w:rPr>
  </w:style>
  <w:style w:type="paragraph" w:customStyle="1" w:styleId="29">
    <w:name w:val="p0"/>
    <w:basedOn w:val="1"/>
    <w:qFormat/>
    <w:uiPriority w:val="0"/>
    <w:pPr>
      <w:widowControl/>
    </w:pPr>
    <w:rPr>
      <w:kern w:val="0"/>
      <w:szCs w:val="21"/>
    </w:rPr>
  </w:style>
  <w:style w:type="paragraph" w:styleId="30">
    <w:name w:val="List Paragraph"/>
    <w:basedOn w:val="1"/>
    <w:qFormat/>
    <w:uiPriority w:val="34"/>
    <w:pPr>
      <w:ind w:firstLine="420" w:firstLineChars="200"/>
    </w:pPr>
  </w:style>
  <w:style w:type="paragraph" w:customStyle="1" w:styleId="31">
    <w:name w:val="p15"/>
    <w:basedOn w:val="1"/>
    <w:qFormat/>
    <w:uiPriority w:val="0"/>
    <w:pPr>
      <w:widowControl/>
      <w:ind w:firstLine="420"/>
    </w:pPr>
    <w:rPr>
      <w:kern w:val="0"/>
      <w:szCs w:val="21"/>
    </w:rPr>
  </w:style>
  <w:style w:type="paragraph" w:customStyle="1" w:styleId="32">
    <w:name w:val="列出段落1"/>
    <w:basedOn w:val="1"/>
    <w:qFormat/>
    <w:uiPriority w:val="0"/>
    <w:pPr>
      <w:ind w:left="720"/>
    </w:pPr>
    <w:rPr>
      <w:rFonts w:ascii="Calibri" w:hAnsi="Calibri"/>
      <w:szCs w:val="22"/>
    </w:rPr>
  </w:style>
  <w:style w:type="character" w:customStyle="1" w:styleId="33">
    <w:name w:val="UserStyle_8"/>
    <w:link w:val="34"/>
    <w:qFormat/>
    <w:locked/>
    <w:uiPriority w:val="0"/>
  </w:style>
  <w:style w:type="paragraph" w:customStyle="1" w:styleId="34">
    <w:name w:val="UserStyle_9"/>
    <w:basedOn w:val="1"/>
    <w:link w:val="33"/>
    <w:qFormat/>
    <w:uiPriority w:val="0"/>
    <w:rPr>
      <w:rFonts w:asciiTheme="minorHAnsi" w:hAnsiTheme="minorHAnsi" w:eastAsiaTheme="minorEastAsia" w:cstheme="minorBidi"/>
      <w:szCs w:val="22"/>
    </w:rPr>
  </w:style>
  <w:style w:type="character" w:customStyle="1" w:styleId="35">
    <w:name w:val="fontstyle11"/>
    <w:qFormat/>
    <w:uiPriority w:val="0"/>
    <w:rPr>
      <w:rFonts w:hint="eastAsia" w:ascii="仿宋_GB2312" w:eastAsia="仿宋_GB2312"/>
      <w:color w:val="000000"/>
      <w:sz w:val="32"/>
      <w:szCs w:val="32"/>
    </w:rPr>
  </w:style>
  <w:style w:type="character" w:customStyle="1" w:styleId="36">
    <w:name w:val="fontstyle01"/>
    <w:qFormat/>
    <w:uiPriority w:val="0"/>
    <w:rPr>
      <w:rFonts w:hint="eastAsia" w:ascii="仿宋" w:hAnsi="仿宋" w:eastAsia="仿宋"/>
      <w:color w:val="000000"/>
      <w:sz w:val="32"/>
      <w:szCs w:val="32"/>
    </w:rPr>
  </w:style>
  <w:style w:type="paragraph" w:customStyle="1" w:styleId="37">
    <w:name w:val="Body text|1"/>
    <w:basedOn w:val="1"/>
    <w:qFormat/>
    <w:uiPriority w:val="0"/>
    <w:pPr>
      <w:spacing w:line="439" w:lineRule="auto"/>
      <w:ind w:firstLine="400"/>
    </w:pPr>
    <w:rPr>
      <w:rFonts w:ascii="宋体" w:hAnsi="宋体" w:cs="宋体"/>
      <w:sz w:val="30"/>
      <w:szCs w:val="30"/>
      <w:lang w:val="zh-TW" w:eastAsia="zh-TW" w:bidi="zh-TW"/>
    </w:rPr>
  </w:style>
  <w:style w:type="character" w:customStyle="1" w:styleId="38">
    <w:name w:val="纯文本 字符"/>
    <w:basedOn w:val="17"/>
    <w:link w:val="7"/>
    <w:qFormat/>
    <w:uiPriority w:val="0"/>
    <w:rPr>
      <w:rFonts w:ascii="宋体" w:hAnsi="Courier New" w:eastAsia="仿宋_GB2312" w:cs="Times New Roman"/>
      <w:sz w:val="32"/>
      <w:szCs w:val="21"/>
    </w:rPr>
  </w:style>
  <w:style w:type="character" w:customStyle="1" w:styleId="39">
    <w:name w:val="批注框文本 字符"/>
    <w:link w:val="10"/>
    <w:qFormat/>
    <w:uiPriority w:val="0"/>
    <w:rPr>
      <w:rFonts w:cs="宋体"/>
      <w:sz w:val="18"/>
      <w:szCs w:val="18"/>
    </w:rPr>
  </w:style>
  <w:style w:type="character" w:customStyle="1" w:styleId="40">
    <w:name w:val="批注框文本 Char1"/>
    <w:basedOn w:val="17"/>
    <w:semiHidden/>
    <w:qFormat/>
    <w:uiPriority w:val="99"/>
    <w:rPr>
      <w:rFonts w:ascii="Times New Roman" w:hAnsi="Times New Roman" w:eastAsia="宋体" w:cs="Times New Roman"/>
      <w:sz w:val="18"/>
      <w:szCs w:val="18"/>
    </w:rPr>
  </w:style>
  <w:style w:type="character" w:customStyle="1" w:styleId="41">
    <w:name w:val="fontstyle21"/>
    <w:qFormat/>
    <w:uiPriority w:val="0"/>
    <w:rPr>
      <w:rFonts w:hint="eastAsia" w:ascii="仿宋_GB2312" w:eastAsia="仿宋_GB2312"/>
      <w:color w:val="000000"/>
      <w:sz w:val="32"/>
      <w:szCs w:val="32"/>
    </w:rPr>
  </w:style>
  <w:style w:type="table" w:customStyle="1" w:styleId="42">
    <w:name w:val="TableGrid"/>
    <w:qFormat/>
    <w:uiPriority w:val="0"/>
    <w:rPr>
      <w:kern w:val="2"/>
      <w:sz w:val="21"/>
      <w:szCs w:val="22"/>
    </w:rPr>
    <w:tblPr>
      <w:tblCellMar>
        <w:top w:w="0" w:type="dxa"/>
        <w:left w:w="0" w:type="dxa"/>
        <w:bottom w:w="0" w:type="dxa"/>
        <w:right w:w="0" w:type="dxa"/>
      </w:tblCellMar>
    </w:tblPr>
  </w:style>
  <w:style w:type="paragraph" w:customStyle="1" w:styleId="43">
    <w:name w:val="样式5 + (西文) 宋体 居中"/>
    <w:basedOn w:val="44"/>
    <w:qFormat/>
    <w:uiPriority w:val="0"/>
    <w:pPr>
      <w:adjustRightInd w:val="0"/>
      <w:snapToGrid w:val="0"/>
      <w:spacing w:before="50" w:beforeLines="50" w:after="50" w:afterLines="50" w:line="400" w:lineRule="atLeast"/>
      <w:jc w:val="center"/>
    </w:pPr>
    <w:rPr>
      <w:rFonts w:ascii="宋体" w:hAnsi="Times New Roman" w:cs="Times New Roman"/>
      <w:sz w:val="24"/>
      <w:szCs w:val="20"/>
    </w:rPr>
  </w:style>
  <w:style w:type="paragraph" w:customStyle="1" w:styleId="44">
    <w:name w:val="样式5 Char"/>
    <w:basedOn w:val="1"/>
    <w:qFormat/>
    <w:uiPriority w:val="0"/>
    <w:pPr>
      <w:adjustRightInd w:val="0"/>
      <w:snapToGrid w:val="0"/>
      <w:spacing w:before="156" w:beforeLines="50" w:after="156" w:afterLines="50" w:line="400" w:lineRule="atLeast"/>
      <w:ind w:firstLine="225" w:firstLineChars="225"/>
    </w:pPr>
    <w:rPr>
      <w:rFonts w:ascii="黑体" w:hAnsi="宋体" w:eastAsia="黑体"/>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6490</Words>
  <Characters>6542</Characters>
  <Lines>23</Lines>
  <Paragraphs>6</Paragraphs>
  <TotalTime>4</TotalTime>
  <ScaleCrop>false</ScaleCrop>
  <LinksUpToDate>false</LinksUpToDate>
  <CharactersWithSpaces>6657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2023-02-02T03:06:00Z</dcterms:created>
  <dc:creator>DELL</dc:creator>
  <cp:lastModifiedBy>DELL</cp:lastModifiedBy>
  <cp:lastPrinted>2023-09-27T01:02:00Z</cp:lastPrinted>
  <dcterms:modified xsi:type="dcterms:W3CDTF">2024-11-19T05:40:19Z</dcterms:modified>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8F077E711176429CBC0FF3984EA140D1_13</vt:lpwstr>
  </property>
</Properties>
</file>