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9323" w:type="dxa"/>
        <w:jc w:val="center"/>
        <w:tblLayout w:type="fixed"/>
        <w:tblCellMar>
          <w:top w:w="0" w:type="dxa"/>
          <w:left w:w="108" w:type="dxa"/>
          <w:bottom w:w="0" w:type="dxa"/>
          <w:right w:w="108" w:type="dxa"/>
        </w:tblCellMar>
      </w:tblPr>
      <w:tblGrid>
        <w:gridCol w:w="9323"/>
      </w:tblGrid>
      <w:tr w14:paraId="237B6097">
        <w:tblPrEx>
          <w:tblCellMar>
            <w:top w:w="0" w:type="dxa"/>
            <w:left w:w="108" w:type="dxa"/>
            <w:bottom w:w="0" w:type="dxa"/>
            <w:right w:w="108" w:type="dxa"/>
          </w:tblCellMar>
        </w:tblPrEx>
        <w:trPr>
          <w:trHeight w:val="1626" w:hRule="atLeast"/>
          <w:jc w:val="center"/>
        </w:trPr>
        <w:tc>
          <w:tcPr>
            <w:tcW w:w="9323" w:type="dxa"/>
            <w:noWrap w:val="0"/>
            <w:vAlign w:val="center"/>
          </w:tcPr>
          <w:tbl>
            <w:tblPr>
              <w:tblStyle w:val="15"/>
              <w:tblW w:w="9346" w:type="dxa"/>
              <w:jc w:val="center"/>
              <w:tblBorders>
                <w:top w:val="none" w:color="auto" w:sz="0" w:space="0"/>
                <w:left w:val="none" w:color="auto" w:sz="0" w:space="0"/>
                <w:bottom w:val="single"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46"/>
            </w:tblGrid>
            <w:tr w14:paraId="39B542A3">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PrEx>
              <w:trPr>
                <w:trHeight w:val="2948" w:hRule="atLeast"/>
                <w:jc w:val="center"/>
              </w:trPr>
              <w:tc>
                <w:tcPr>
                  <w:tcW w:w="5000" w:type="pct"/>
                  <w:noWrap w:val="0"/>
                  <w:vAlign w:val="center"/>
                </w:tcPr>
                <w:p w14:paraId="129CD664">
                  <w:pPr>
                    <w:jc w:val="distribute"/>
                    <w:rPr>
                      <w:rFonts w:ascii="方正小标宋简体" w:hAnsi="宋体" w:eastAsia="方正小标宋简体"/>
                      <w:color w:val="FF0000"/>
                      <w:spacing w:val="-11"/>
                      <w:sz w:val="72"/>
                      <w:szCs w:val="72"/>
                    </w:rPr>
                  </w:pPr>
                  <w:bookmarkStart w:id="0" w:name="_Toc250454266"/>
                  <w:bookmarkEnd w:id="0"/>
                  <w:bookmarkStart w:id="1" w:name="_Toc250537265"/>
                  <w:bookmarkEnd w:id="1"/>
                  <w:bookmarkStart w:id="2" w:name="_Toc250454403"/>
                  <w:bookmarkEnd w:id="2"/>
                  <w:bookmarkStart w:id="3" w:name="_Toc250498189"/>
                  <w:bookmarkEnd w:id="3"/>
                  <w:bookmarkStart w:id="4" w:name="_Toc251685203"/>
                  <w:bookmarkEnd w:id="4"/>
                  <w:bookmarkStart w:id="5" w:name="_Toc260221961"/>
                  <w:bookmarkEnd w:id="5"/>
                  <w:bookmarkStart w:id="6" w:name="_Toc251685251"/>
                  <w:bookmarkEnd w:id="6"/>
                  <w:r>
                    <w:rPr>
                      <w:rFonts w:hint="eastAsia" w:ascii="方正小标宋简体" w:hAnsi="宋体" w:eastAsia="方正小标宋简体"/>
                      <w:color w:val="FF0000"/>
                      <w:spacing w:val="-11"/>
                      <w:sz w:val="72"/>
                      <w:szCs w:val="72"/>
                    </w:rPr>
                    <w:t>北京青年政治学院文件</w:t>
                  </w:r>
                </w:p>
                <w:p w14:paraId="3C624453">
                  <w:pPr>
                    <w:rPr>
                      <w:rFonts w:hint="eastAsia" w:ascii="方正小标宋简体" w:hAnsi="宋体" w:eastAsia="方正小标宋简体"/>
                      <w:b/>
                      <w:color w:val="000000"/>
                      <w:spacing w:val="-24"/>
                    </w:rPr>
                  </w:pPr>
                </w:p>
              </w:tc>
            </w:tr>
            <w:tr w14:paraId="1618499B">
              <w:tblPrEx>
                <w:tblBorders>
                  <w:top w:val="none" w:color="auto" w:sz="0" w:space="0"/>
                  <w:left w:val="none" w:color="auto" w:sz="0" w:space="0"/>
                  <w:bottom w:val="single"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5000" w:type="pct"/>
                  <w:noWrap w:val="0"/>
                  <w:vAlign w:val="center"/>
                </w:tcPr>
                <w:p w14:paraId="26E7DC56">
                  <w:pPr>
                    <w:jc w:val="center"/>
                    <w:rPr>
                      <w:rFonts w:hint="eastAsia" w:ascii="仿宋_GB2312" w:hAnsi="宋体" w:eastAsia="仿宋_GB2312"/>
                      <w:color w:val="000000"/>
                      <w:sz w:val="32"/>
                      <w:szCs w:val="32"/>
                    </w:rPr>
                  </w:pPr>
                  <w:r>
                    <w:rPr>
                      <w:rFonts w:hint="eastAsia" w:ascii="仿宋_GB2312" w:hAnsi="宋体" w:eastAsia="仿宋_GB2312"/>
                      <w:color w:val="000000"/>
                      <w:sz w:val="32"/>
                      <w:szCs w:val="32"/>
                    </w:rPr>
                    <w:t>院发〔</w:t>
                  </w:r>
                  <w:r>
                    <w:rPr>
                      <w:rFonts w:hint="eastAsia" w:ascii="仿宋_GB2312" w:eastAsia="仿宋_GB2312"/>
                      <w:color w:val="000000"/>
                      <w:sz w:val="32"/>
                      <w:szCs w:val="32"/>
                    </w:rPr>
                    <w:t>2024</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26</w:t>
                  </w:r>
                  <w:r>
                    <w:rPr>
                      <w:rFonts w:hint="eastAsia" w:ascii="仿宋_GB2312" w:eastAsia="仿宋_GB2312"/>
                      <w:color w:val="000000"/>
                      <w:sz w:val="32"/>
                      <w:szCs w:val="32"/>
                    </w:rPr>
                    <w:t>号</w:t>
                  </w:r>
                </w:p>
              </w:tc>
            </w:tr>
          </w:tbl>
          <w:p w14:paraId="4F4E07AA">
            <w:pPr>
              <w:adjustRightInd w:val="0"/>
              <w:spacing w:line="600" w:lineRule="exact"/>
              <w:jc w:val="center"/>
              <w:rPr>
                <w:rFonts w:ascii="方正小标宋简体" w:hAnsi="宋体" w:eastAsia="方正小标宋简体"/>
                <w:color w:val="000000"/>
                <w:spacing w:val="-10"/>
                <w:sz w:val="60"/>
                <w:szCs w:val="60"/>
              </w:rPr>
            </w:pPr>
          </w:p>
        </w:tc>
      </w:tr>
    </w:tbl>
    <w:p w14:paraId="2DC6A112">
      <w:pPr>
        <w:spacing w:line="600" w:lineRule="exact"/>
        <w:jc w:val="center"/>
        <w:rPr>
          <w:rFonts w:hint="eastAsia" w:ascii="方正小标宋简体" w:hAnsi="方正小标宋简体" w:eastAsia="方正小标宋简体" w:cs="方正小标宋简体"/>
          <w:sz w:val="44"/>
          <w:szCs w:val="44"/>
        </w:rPr>
      </w:pPr>
    </w:p>
    <w:p w14:paraId="5BEA61D3">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北京青年政治学院关于印发</w:t>
      </w:r>
    </w:p>
    <w:p w14:paraId="15FF33F0">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w:t>
      </w:r>
      <w:r>
        <w:rPr>
          <w:rFonts w:ascii="方正小标宋简体" w:hAnsi="方正小标宋简体" w:eastAsia="方正小标宋简体" w:cs="方正小标宋简体"/>
          <w:sz w:val="44"/>
          <w:szCs w:val="44"/>
        </w:rPr>
        <w:t>北京青年政治学院</w:t>
      </w:r>
      <w:r>
        <w:rPr>
          <w:rFonts w:hint="eastAsia" w:ascii="方正小标宋简体" w:hAnsi="方正小标宋简体" w:eastAsia="方正小标宋简体" w:cs="方正小标宋简体"/>
          <w:sz w:val="44"/>
          <w:szCs w:val="44"/>
          <w:lang w:val="en-US" w:eastAsia="zh-CN"/>
        </w:rPr>
        <w:t>财务报销规定</w:t>
      </w:r>
      <w:r>
        <w:rPr>
          <w:rFonts w:hint="eastAsia" w:ascii="方正小标宋简体" w:hAnsi="方正小标宋简体" w:eastAsia="方正小标宋简体" w:cs="方正小标宋简体"/>
          <w:sz w:val="44"/>
          <w:szCs w:val="44"/>
        </w:rPr>
        <w:t>》的通知</w:t>
      </w:r>
    </w:p>
    <w:p w14:paraId="4129622E">
      <w:pPr>
        <w:rPr>
          <w:rFonts w:ascii="仿宋_GB2312" w:hAnsi="黑体" w:eastAsia="仿宋_GB2312"/>
          <w:sz w:val="32"/>
          <w:szCs w:val="32"/>
        </w:rPr>
      </w:pPr>
    </w:p>
    <w:p w14:paraId="5D329E71">
      <w:pPr>
        <w:spacing w:line="560" w:lineRule="exact"/>
        <w:rPr>
          <w:rFonts w:ascii="楷体_GB2312" w:hAnsi="楷体" w:eastAsia="楷体_GB2312"/>
          <w:color w:val="000000"/>
          <w:sz w:val="32"/>
          <w:szCs w:val="32"/>
        </w:rPr>
      </w:pPr>
      <w:r>
        <w:rPr>
          <w:rFonts w:hint="eastAsia" w:ascii="楷体_GB2312" w:hAnsi="楷体" w:eastAsia="楷体_GB2312"/>
          <w:color w:val="000000"/>
          <w:sz w:val="32"/>
          <w:szCs w:val="32"/>
        </w:rPr>
        <w:t>各部门、单位:</w:t>
      </w:r>
    </w:p>
    <w:p w14:paraId="57757B40">
      <w:pPr>
        <w:widowControl/>
        <w:spacing w:line="560" w:lineRule="exact"/>
        <w:ind w:firstLine="640" w:firstLineChars="200"/>
        <w:rPr>
          <w:rFonts w:ascii="楷体_GB2312" w:hAnsi="楷体" w:eastAsia="楷体_GB2312"/>
          <w:color w:val="000000"/>
          <w:sz w:val="32"/>
          <w:szCs w:val="32"/>
        </w:rPr>
      </w:pPr>
      <w:r>
        <w:rPr>
          <w:rFonts w:hint="eastAsia" w:ascii="楷体_GB2312" w:hAnsi="楷体" w:eastAsia="楷体_GB2312"/>
          <w:color w:val="000000"/>
          <w:sz w:val="32"/>
          <w:szCs w:val="32"/>
          <w:lang w:val="en-US" w:eastAsia="zh-CN"/>
        </w:rPr>
        <w:t>新修订的</w:t>
      </w:r>
      <w:r>
        <w:rPr>
          <w:rFonts w:hint="eastAsia" w:ascii="楷体_GB2312" w:hAnsi="楷体" w:eastAsia="楷体_GB2312"/>
          <w:color w:val="000000"/>
          <w:sz w:val="32"/>
          <w:szCs w:val="32"/>
        </w:rPr>
        <w:t>《北京青年政治学院</w:t>
      </w:r>
      <w:r>
        <w:rPr>
          <w:rFonts w:hint="eastAsia" w:ascii="楷体_GB2312" w:hAnsi="楷体" w:eastAsia="楷体_GB2312"/>
          <w:color w:val="000000"/>
          <w:sz w:val="32"/>
          <w:szCs w:val="32"/>
          <w:lang w:val="en-US" w:eastAsia="zh-CN"/>
        </w:rPr>
        <w:t>财务报销规定</w:t>
      </w:r>
      <w:r>
        <w:rPr>
          <w:rFonts w:hint="eastAsia" w:ascii="楷体_GB2312" w:hAnsi="楷体" w:eastAsia="楷体_GB2312"/>
          <w:color w:val="000000"/>
          <w:sz w:val="32"/>
          <w:szCs w:val="32"/>
        </w:rPr>
        <w:t>》</w:t>
      </w:r>
      <w:r>
        <w:rPr>
          <w:rFonts w:hint="eastAsia" w:ascii="楷体_GB2312" w:hAnsi="楷体" w:eastAsia="楷体_GB2312"/>
          <w:sz w:val="32"/>
          <w:szCs w:val="32"/>
        </w:rPr>
        <w:t>经学院202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w:t>
      </w:r>
      <w:r>
        <w:rPr>
          <w:rFonts w:hint="eastAsia" w:ascii="楷体_GB2312" w:hAnsi="楷体" w:eastAsia="楷体_GB2312"/>
          <w:sz w:val="32"/>
          <w:szCs w:val="32"/>
          <w:lang w:val="en-US" w:eastAsia="zh-CN"/>
        </w:rPr>
        <w:t>11</w:t>
      </w:r>
      <w:r>
        <w:rPr>
          <w:rFonts w:hint="eastAsia" w:ascii="楷体_GB2312" w:hAnsi="楷体" w:eastAsia="楷体_GB2312"/>
          <w:sz w:val="32"/>
          <w:szCs w:val="32"/>
        </w:rPr>
        <w:t>月</w:t>
      </w:r>
      <w:r>
        <w:rPr>
          <w:rFonts w:hint="eastAsia" w:ascii="楷体_GB2312" w:hAnsi="楷体" w:eastAsia="楷体_GB2312"/>
          <w:sz w:val="32"/>
          <w:szCs w:val="32"/>
          <w:lang w:val="en-US" w:eastAsia="zh-CN"/>
        </w:rPr>
        <w:t>14</w:t>
      </w:r>
      <w:r>
        <w:rPr>
          <w:rFonts w:hint="eastAsia" w:ascii="楷体_GB2312" w:hAnsi="楷体" w:eastAsia="楷体_GB2312"/>
          <w:sz w:val="32"/>
          <w:szCs w:val="32"/>
        </w:rPr>
        <w:t>日第二十</w:t>
      </w:r>
      <w:r>
        <w:rPr>
          <w:rFonts w:hint="eastAsia" w:ascii="楷体_GB2312" w:hAnsi="楷体" w:eastAsia="楷体_GB2312"/>
          <w:sz w:val="32"/>
          <w:szCs w:val="32"/>
          <w:lang w:val="en-US" w:eastAsia="zh-CN"/>
        </w:rPr>
        <w:t>九</w:t>
      </w:r>
      <w:r>
        <w:rPr>
          <w:rFonts w:hint="eastAsia" w:ascii="楷体_GB2312" w:hAnsi="楷体" w:eastAsia="楷体_GB2312"/>
          <w:sz w:val="32"/>
          <w:szCs w:val="32"/>
        </w:rPr>
        <w:t>次院长办公会讨</w:t>
      </w:r>
      <w:r>
        <w:rPr>
          <w:rFonts w:hint="eastAsia" w:ascii="楷体_GB2312" w:hAnsi="楷体" w:eastAsia="楷体_GB2312"/>
          <w:color w:val="000000"/>
          <w:sz w:val="32"/>
          <w:szCs w:val="32"/>
        </w:rPr>
        <w:t>论通过</w:t>
      </w:r>
      <w:r>
        <w:rPr>
          <w:rFonts w:hint="eastAsia" w:ascii="楷体_GB2312" w:hAnsi="楷体" w:eastAsia="楷体_GB2312"/>
          <w:color w:val="000000" w:themeColor="text1"/>
          <w:sz w:val="32"/>
          <w:szCs w:val="32"/>
          <w14:textFill>
            <w14:solidFill>
              <w14:schemeClr w14:val="tx1"/>
            </w14:solidFill>
          </w14:textFill>
        </w:rPr>
        <w:t>，现印发给你们，请认真遵照执行。</w:t>
      </w:r>
    </w:p>
    <w:p w14:paraId="07D9C28B">
      <w:pPr>
        <w:spacing w:line="560" w:lineRule="exact"/>
        <w:jc w:val="center"/>
        <w:rPr>
          <w:rFonts w:ascii="楷体_GB2312" w:hAnsi="楷体" w:eastAsia="楷体_GB2312"/>
          <w:bCs/>
          <w:color w:val="000000" w:themeColor="text1"/>
          <w:sz w:val="44"/>
          <w:szCs w:val="44"/>
          <w14:textFill>
            <w14:solidFill>
              <w14:schemeClr w14:val="tx1"/>
            </w14:solidFill>
          </w14:textFill>
        </w:rPr>
      </w:pPr>
    </w:p>
    <w:p w14:paraId="3C7A9F1E">
      <w:pPr>
        <w:pStyle w:val="3"/>
        <w:spacing w:line="560" w:lineRule="exact"/>
        <w:rPr>
          <w:rFonts w:ascii="楷体_GB2312" w:eastAsia="楷体_GB2312"/>
        </w:rPr>
      </w:pPr>
    </w:p>
    <w:p w14:paraId="670E972D">
      <w:pPr>
        <w:spacing w:line="560" w:lineRule="exact"/>
        <w:ind w:firstLine="5120" w:firstLineChars="1600"/>
        <w:jc w:val="left"/>
        <w:rPr>
          <w:rFonts w:ascii="楷体_GB2312" w:hAnsi="楷体" w:eastAsia="楷体_GB2312"/>
          <w:color w:val="000000" w:themeColor="text1"/>
          <w:sz w:val="32"/>
          <w:szCs w:val="32"/>
          <w14:textFill>
            <w14:solidFill>
              <w14:schemeClr w14:val="tx1"/>
            </w14:solidFill>
          </w14:textFill>
        </w:rPr>
      </w:pPr>
      <w:r>
        <w:rPr>
          <w:rFonts w:hint="eastAsia" w:ascii="楷体_GB2312" w:hAnsi="楷体" w:eastAsia="楷体_GB2312"/>
          <w:color w:val="000000" w:themeColor="text1"/>
          <w:sz w:val="32"/>
          <w:szCs w:val="32"/>
          <w14:textFill>
            <w14:solidFill>
              <w14:schemeClr w14:val="tx1"/>
            </w14:solidFill>
          </w14:textFill>
        </w:rPr>
        <w:t>北京青年政治学院</w:t>
      </w:r>
    </w:p>
    <w:p w14:paraId="65B38F88">
      <w:pPr>
        <w:spacing w:line="560" w:lineRule="exact"/>
        <w:ind w:firstLine="5120" w:firstLineChars="1600"/>
        <w:jc w:val="left"/>
        <w:rPr>
          <w:rFonts w:ascii="楷体_GB2312" w:hAnsi="楷体" w:eastAsia="楷体_GB2312"/>
          <w:color w:val="000000" w:themeColor="text1"/>
          <w:sz w:val="32"/>
          <w:szCs w:val="32"/>
          <w14:textFill>
            <w14:solidFill>
              <w14:schemeClr w14:val="tx1"/>
            </w14:solidFill>
          </w14:textFill>
        </w:rPr>
      </w:pPr>
      <w:r>
        <w:rPr>
          <w:rFonts w:hint="eastAsia" w:ascii="楷体_GB2312" w:hAnsi="楷体" w:eastAsia="楷体_GB2312"/>
          <w:color w:val="000000" w:themeColor="text1"/>
          <w:sz w:val="32"/>
          <w:szCs w:val="32"/>
          <w14:textFill>
            <w14:solidFill>
              <w14:schemeClr w14:val="tx1"/>
            </w14:solidFill>
          </w14:textFill>
        </w:rPr>
        <w:t>202</w:t>
      </w:r>
      <w:r>
        <w:rPr>
          <w:rFonts w:hint="eastAsia" w:ascii="楷体_GB2312" w:hAnsi="楷体" w:eastAsia="楷体_GB2312"/>
          <w:color w:val="000000" w:themeColor="text1"/>
          <w:sz w:val="32"/>
          <w:szCs w:val="32"/>
          <w:lang w:val="en-US" w:eastAsia="zh-CN"/>
          <w14:textFill>
            <w14:solidFill>
              <w14:schemeClr w14:val="tx1"/>
            </w14:solidFill>
          </w14:textFill>
        </w:rPr>
        <w:t>4</w:t>
      </w:r>
      <w:r>
        <w:rPr>
          <w:rFonts w:hint="eastAsia" w:ascii="楷体_GB2312" w:hAnsi="楷体" w:eastAsia="楷体_GB2312"/>
          <w:color w:val="000000" w:themeColor="text1"/>
          <w:sz w:val="32"/>
          <w:szCs w:val="32"/>
          <w14:textFill>
            <w14:solidFill>
              <w14:schemeClr w14:val="tx1"/>
            </w14:solidFill>
          </w14:textFill>
        </w:rPr>
        <w:t>年</w:t>
      </w:r>
      <w:r>
        <w:rPr>
          <w:rFonts w:hint="eastAsia" w:ascii="楷体_GB2312" w:hAnsi="楷体" w:eastAsia="楷体_GB2312"/>
          <w:color w:val="000000" w:themeColor="text1"/>
          <w:sz w:val="32"/>
          <w:szCs w:val="32"/>
          <w:lang w:val="en-US" w:eastAsia="zh-CN"/>
          <w14:textFill>
            <w14:solidFill>
              <w14:schemeClr w14:val="tx1"/>
            </w14:solidFill>
          </w14:textFill>
        </w:rPr>
        <w:t>11</w:t>
      </w:r>
      <w:r>
        <w:rPr>
          <w:rFonts w:hint="eastAsia" w:ascii="楷体_GB2312" w:hAnsi="楷体" w:eastAsia="楷体_GB2312"/>
          <w:color w:val="000000" w:themeColor="text1"/>
          <w:sz w:val="32"/>
          <w:szCs w:val="32"/>
          <w14:textFill>
            <w14:solidFill>
              <w14:schemeClr w14:val="tx1"/>
            </w14:solidFill>
          </w14:textFill>
        </w:rPr>
        <w:t>月</w:t>
      </w:r>
      <w:r>
        <w:rPr>
          <w:rFonts w:hint="eastAsia" w:ascii="楷体_GB2312" w:hAnsi="楷体" w:eastAsia="楷体_GB2312"/>
          <w:color w:val="000000" w:themeColor="text1"/>
          <w:sz w:val="32"/>
          <w:szCs w:val="32"/>
          <w:lang w:val="en-US" w:eastAsia="zh-CN"/>
          <w14:textFill>
            <w14:solidFill>
              <w14:schemeClr w14:val="tx1"/>
            </w14:solidFill>
          </w14:textFill>
        </w:rPr>
        <w:t>18</w:t>
      </w:r>
      <w:r>
        <w:rPr>
          <w:rFonts w:hint="eastAsia" w:ascii="楷体_GB2312" w:hAnsi="楷体" w:eastAsia="楷体_GB2312"/>
          <w:color w:val="000000" w:themeColor="text1"/>
          <w:sz w:val="32"/>
          <w:szCs w:val="32"/>
          <w14:textFill>
            <w14:solidFill>
              <w14:schemeClr w14:val="tx1"/>
            </w14:solidFill>
          </w14:textFill>
        </w:rPr>
        <w:t>日</w:t>
      </w:r>
    </w:p>
    <w:p w14:paraId="7005CD38">
      <w:pPr>
        <w:spacing w:line="560" w:lineRule="exact"/>
        <w:ind w:firstLine="640" w:firstLineChars="200"/>
        <w:rPr>
          <w:rFonts w:ascii="仿宋_GB2312" w:hAnsi="黑体" w:eastAsia="仿宋_GB2312"/>
          <w:sz w:val="32"/>
          <w:szCs w:val="32"/>
        </w:rPr>
      </w:pPr>
    </w:p>
    <w:p w14:paraId="4A953724">
      <w:pPr>
        <w:pStyle w:val="3"/>
      </w:pPr>
    </w:p>
    <w:p w14:paraId="06AC35E0">
      <w:pPr>
        <w:keepNext w:val="0"/>
        <w:keepLines w:val="0"/>
        <w:pageBreakBefore w:val="0"/>
        <w:widowControl w:val="0"/>
        <w:tabs>
          <w:tab w:val="left" w:pos="630"/>
        </w:tabs>
        <w:kinsoku/>
        <w:wordWrap/>
        <w:overflowPunct/>
        <w:topLinePunct w:val="0"/>
        <w:autoSpaceDE/>
        <w:autoSpaceDN/>
        <w:bidi w:val="0"/>
        <w:adjustRightInd w:val="0"/>
        <w:snapToGrid w:val="0"/>
        <w:spacing w:line="560" w:lineRule="exact"/>
        <w:jc w:val="center"/>
        <w:textAlignment w:val="auto"/>
        <w:rPr>
          <w:rFonts w:hint="eastAsia" w:ascii="方正小标宋简体" w:hAnsi="华文中宋" w:eastAsia="方正小标宋简体"/>
          <w:sz w:val="44"/>
          <w:szCs w:val="44"/>
          <w:lang w:val="en-US" w:eastAsia="zh-CN"/>
        </w:rPr>
      </w:pPr>
      <w:r>
        <w:rPr>
          <w:rFonts w:hint="eastAsia" w:ascii="方正小标宋简体" w:hAnsi="华文中宋" w:eastAsia="方正小标宋简体"/>
          <w:sz w:val="44"/>
          <w:szCs w:val="44"/>
        </w:rPr>
        <w:t>北京青年政治学院</w:t>
      </w:r>
      <w:bookmarkStart w:id="7" w:name="_Hlk137125618"/>
      <w:r>
        <w:rPr>
          <w:rFonts w:hint="eastAsia" w:ascii="方正小标宋简体" w:hAnsi="华文中宋" w:eastAsia="方正小标宋简体"/>
          <w:sz w:val="44"/>
          <w:szCs w:val="44"/>
          <w:lang w:val="en-US" w:eastAsia="zh-CN"/>
        </w:rPr>
        <w:t>财务报销规定</w:t>
      </w:r>
    </w:p>
    <w:p w14:paraId="5BE6C173">
      <w:pPr>
        <w:keepNext w:val="0"/>
        <w:keepLines w:val="0"/>
        <w:pageBreakBefore w:val="0"/>
        <w:widowControl w:val="0"/>
        <w:tabs>
          <w:tab w:val="left" w:pos="630"/>
        </w:tabs>
        <w:kinsoku/>
        <w:wordWrap/>
        <w:overflowPunct/>
        <w:topLinePunct w:val="0"/>
        <w:autoSpaceDE/>
        <w:autoSpaceDN/>
        <w:bidi w:val="0"/>
        <w:adjustRightInd w:val="0"/>
        <w:snapToGrid w:val="0"/>
        <w:spacing w:line="560" w:lineRule="exact"/>
        <w:jc w:val="center"/>
        <w:textAlignment w:val="auto"/>
      </w:pPr>
      <w:r>
        <w:rPr>
          <w:rFonts w:hint="eastAsia" w:ascii="仿宋_GB2312" w:hAnsi="仿宋_GB2312" w:eastAsia="仿宋_GB2312" w:cs="仿宋_GB2312"/>
          <w:bCs/>
          <w:color w:val="000000"/>
          <w:kern w:val="0"/>
          <w:sz w:val="32"/>
          <w:szCs w:val="32"/>
        </w:rPr>
        <w:t>（201</w:t>
      </w:r>
      <w:r>
        <w:rPr>
          <w:rFonts w:ascii="仿宋_GB2312" w:hAnsi="仿宋_GB2312" w:eastAsia="仿宋_GB2312" w:cs="仿宋_GB2312"/>
          <w:bCs/>
          <w:color w:val="000000"/>
          <w:kern w:val="0"/>
          <w:sz w:val="32"/>
          <w:szCs w:val="32"/>
        </w:rPr>
        <w:t>9</w:t>
      </w:r>
      <w:r>
        <w:rPr>
          <w:rFonts w:hint="eastAsia" w:ascii="仿宋_GB2312" w:hAnsi="仿宋_GB2312" w:eastAsia="仿宋_GB2312" w:cs="仿宋_GB2312"/>
          <w:bCs/>
          <w:color w:val="000000"/>
          <w:kern w:val="0"/>
          <w:sz w:val="32"/>
          <w:szCs w:val="32"/>
        </w:rPr>
        <w:t>年</w:t>
      </w:r>
      <w:r>
        <w:rPr>
          <w:rFonts w:ascii="仿宋_GB2312" w:hAnsi="仿宋_GB2312" w:cs="仿宋_GB2312"/>
          <w:bCs/>
          <w:color w:val="000000"/>
          <w:kern w:val="0"/>
          <w:sz w:val="32"/>
          <w:szCs w:val="32"/>
        </w:rPr>
        <w:t>4</w:t>
      </w:r>
      <w:r>
        <w:rPr>
          <w:rFonts w:hint="eastAsia" w:ascii="仿宋_GB2312" w:hAnsi="仿宋_GB2312" w:eastAsia="仿宋_GB2312" w:cs="仿宋_GB2312"/>
          <w:bCs/>
          <w:color w:val="000000"/>
          <w:kern w:val="0"/>
          <w:sz w:val="32"/>
          <w:szCs w:val="32"/>
        </w:rPr>
        <w:t>月</w:t>
      </w:r>
      <w:r>
        <w:rPr>
          <w:rFonts w:hint="eastAsia" w:ascii="仿宋_GB2312" w:hAnsi="仿宋_GB2312" w:cs="仿宋_GB2312"/>
          <w:bCs/>
          <w:color w:val="000000"/>
          <w:kern w:val="0"/>
          <w:sz w:val="32"/>
          <w:szCs w:val="32"/>
        </w:rPr>
        <w:t>1</w:t>
      </w:r>
      <w:r>
        <w:rPr>
          <w:rFonts w:ascii="仿宋_GB2312" w:hAnsi="仿宋_GB2312" w:cs="仿宋_GB2312"/>
          <w:bCs/>
          <w:color w:val="000000"/>
          <w:kern w:val="0"/>
          <w:sz w:val="32"/>
          <w:szCs w:val="32"/>
        </w:rPr>
        <w:t>6</w:t>
      </w:r>
      <w:r>
        <w:rPr>
          <w:rFonts w:hint="eastAsia" w:ascii="仿宋_GB2312" w:hAnsi="仿宋_GB2312" w:eastAsia="仿宋_GB2312" w:cs="仿宋_GB2312"/>
          <w:bCs/>
          <w:color w:val="000000"/>
          <w:kern w:val="0"/>
          <w:sz w:val="32"/>
          <w:szCs w:val="32"/>
        </w:rPr>
        <w:t>日第</w:t>
      </w:r>
      <w:r>
        <w:rPr>
          <w:rFonts w:hint="eastAsia" w:ascii="仿宋_GB2312" w:hAnsi="仿宋_GB2312" w:eastAsia="仿宋_GB2312" w:cs="仿宋_GB2312"/>
          <w:bCs/>
          <w:color w:val="000000"/>
          <w:kern w:val="0"/>
          <w:sz w:val="32"/>
          <w:szCs w:val="32"/>
          <w:lang w:val="en-US" w:eastAsia="zh-CN"/>
        </w:rPr>
        <w:t>6</w:t>
      </w:r>
      <w:r>
        <w:rPr>
          <w:rFonts w:hint="eastAsia" w:ascii="仿宋_GB2312" w:hAnsi="仿宋_GB2312" w:eastAsia="仿宋_GB2312" w:cs="仿宋_GB2312"/>
          <w:bCs/>
          <w:color w:val="000000"/>
          <w:kern w:val="0"/>
          <w:sz w:val="32"/>
          <w:szCs w:val="32"/>
        </w:rPr>
        <w:t>次院长办公会</w:t>
      </w:r>
      <w:r>
        <w:rPr>
          <w:rFonts w:hint="eastAsia" w:ascii="仿宋_GB2312" w:hAnsi="仿宋_GB2312" w:eastAsia="仿宋_GB2312" w:cs="仿宋_GB2312"/>
          <w:bCs/>
          <w:color w:val="000000"/>
          <w:kern w:val="0"/>
          <w:sz w:val="32"/>
          <w:szCs w:val="32"/>
          <w:lang w:eastAsia="zh-CN"/>
        </w:rPr>
        <w:t>议</w:t>
      </w:r>
      <w:r>
        <w:rPr>
          <w:rFonts w:hint="eastAsia" w:ascii="仿宋_GB2312" w:hAnsi="仿宋_GB2312" w:eastAsia="仿宋_GB2312" w:cs="仿宋_GB2312"/>
          <w:bCs/>
          <w:color w:val="000000"/>
          <w:kern w:val="0"/>
          <w:sz w:val="32"/>
          <w:szCs w:val="32"/>
          <w:lang w:val="en-US" w:eastAsia="zh-CN"/>
        </w:rPr>
        <w:t xml:space="preserve">通过  </w:t>
      </w:r>
      <w:r>
        <w:rPr>
          <w:rFonts w:hint="eastAsia" w:ascii="仿宋_GB2312" w:hAnsi="仿宋_GB2312" w:eastAsia="仿宋_GB2312" w:cs="仿宋_GB2312"/>
          <w:bCs/>
          <w:color w:val="000000"/>
          <w:kern w:val="0"/>
          <w:sz w:val="32"/>
          <w:szCs w:val="32"/>
        </w:rPr>
        <w:t>201</w:t>
      </w:r>
      <w:r>
        <w:rPr>
          <w:rFonts w:ascii="仿宋_GB2312" w:hAnsi="仿宋_GB2312" w:eastAsia="仿宋_GB2312" w:cs="仿宋_GB2312"/>
          <w:bCs/>
          <w:color w:val="000000"/>
          <w:kern w:val="0"/>
          <w:sz w:val="32"/>
          <w:szCs w:val="32"/>
        </w:rPr>
        <w:t>9</w:t>
      </w:r>
      <w:r>
        <w:rPr>
          <w:rFonts w:hint="eastAsia" w:ascii="仿宋_GB2312" w:hAnsi="仿宋_GB2312" w:eastAsia="仿宋_GB2312" w:cs="仿宋_GB2312"/>
          <w:bCs/>
          <w:color w:val="000000"/>
          <w:kern w:val="0"/>
          <w:sz w:val="32"/>
          <w:szCs w:val="32"/>
        </w:rPr>
        <w:t>年</w:t>
      </w:r>
      <w:r>
        <w:rPr>
          <w:rFonts w:ascii="仿宋_GB2312" w:hAnsi="仿宋_GB2312" w:cs="仿宋_GB2312"/>
          <w:bCs/>
          <w:color w:val="000000"/>
          <w:kern w:val="0"/>
          <w:sz w:val="32"/>
          <w:szCs w:val="32"/>
        </w:rPr>
        <w:t>4</w:t>
      </w:r>
      <w:r>
        <w:rPr>
          <w:rFonts w:hint="eastAsia" w:ascii="仿宋_GB2312" w:hAnsi="仿宋_GB2312" w:eastAsia="仿宋_GB2312" w:cs="仿宋_GB2312"/>
          <w:bCs/>
          <w:color w:val="000000"/>
          <w:kern w:val="0"/>
          <w:sz w:val="32"/>
          <w:szCs w:val="32"/>
        </w:rPr>
        <w:t>月</w:t>
      </w:r>
      <w:r>
        <w:rPr>
          <w:rFonts w:hint="eastAsia" w:ascii="仿宋_GB2312" w:hAnsi="仿宋_GB2312" w:cs="仿宋_GB2312"/>
          <w:bCs/>
          <w:color w:val="000000"/>
          <w:kern w:val="0"/>
          <w:sz w:val="32"/>
          <w:szCs w:val="32"/>
        </w:rPr>
        <w:t>1</w:t>
      </w:r>
      <w:r>
        <w:rPr>
          <w:rFonts w:ascii="仿宋_GB2312" w:hAnsi="仿宋_GB2312" w:cs="仿宋_GB2312"/>
          <w:bCs/>
          <w:color w:val="000000"/>
          <w:kern w:val="0"/>
          <w:sz w:val="32"/>
          <w:szCs w:val="32"/>
        </w:rPr>
        <w:t>6</w:t>
      </w:r>
      <w:r>
        <w:rPr>
          <w:rFonts w:hint="eastAsia" w:ascii="仿宋_GB2312" w:hAnsi="仿宋_GB2312" w:eastAsia="仿宋_GB2312" w:cs="仿宋_GB2312"/>
          <w:bCs/>
          <w:color w:val="000000"/>
          <w:kern w:val="0"/>
          <w:sz w:val="32"/>
          <w:szCs w:val="32"/>
        </w:rPr>
        <w:t>日</w:t>
      </w:r>
      <w:r>
        <w:rPr>
          <w:rFonts w:hint="eastAsia" w:ascii="仿宋_GB2312" w:hAnsi="仿宋_GB2312" w:eastAsia="仿宋_GB2312" w:cs="仿宋_GB2312"/>
          <w:bCs/>
          <w:color w:val="000000"/>
          <w:kern w:val="0"/>
          <w:sz w:val="32"/>
          <w:szCs w:val="32"/>
          <w:lang w:eastAsia="zh-CN"/>
        </w:rPr>
        <w:t>发布</w:t>
      </w:r>
      <w:r>
        <w:rPr>
          <w:rFonts w:hint="eastAsia" w:ascii="仿宋_GB2312" w:hAnsi="仿宋_GB2312" w:eastAsia="仿宋_GB2312" w:cs="仿宋_GB2312"/>
          <w:bCs/>
          <w:color w:val="000000"/>
          <w:kern w:val="0"/>
          <w:sz w:val="32"/>
          <w:szCs w:val="32"/>
          <w:lang w:val="en-US" w:eastAsia="zh-CN"/>
        </w:rPr>
        <w:t xml:space="preserve">  </w:t>
      </w:r>
      <w:r>
        <w:rPr>
          <w:rFonts w:hint="eastAsia" w:ascii="仿宋_GB2312" w:hAnsi="仿宋_GB2312" w:eastAsia="仿宋_GB2312" w:cs="仿宋_GB2312"/>
          <w:bCs/>
          <w:color w:val="000000"/>
          <w:kern w:val="0"/>
          <w:sz w:val="32"/>
          <w:szCs w:val="32"/>
        </w:rPr>
        <w:t>202</w:t>
      </w:r>
      <w:r>
        <w:rPr>
          <w:rFonts w:ascii="仿宋_GB2312" w:hAnsi="仿宋_GB2312" w:eastAsia="仿宋_GB2312" w:cs="仿宋_GB2312"/>
          <w:bCs/>
          <w:color w:val="000000"/>
          <w:kern w:val="0"/>
          <w:sz w:val="32"/>
          <w:szCs w:val="32"/>
        </w:rPr>
        <w:t>2</w:t>
      </w:r>
      <w:r>
        <w:rPr>
          <w:rFonts w:hint="eastAsia" w:ascii="仿宋_GB2312" w:hAnsi="仿宋_GB2312" w:eastAsia="仿宋_GB2312" w:cs="仿宋_GB2312"/>
          <w:bCs/>
          <w:color w:val="000000"/>
          <w:kern w:val="0"/>
          <w:sz w:val="32"/>
          <w:szCs w:val="32"/>
        </w:rPr>
        <w:t>年</w:t>
      </w:r>
      <w:r>
        <w:rPr>
          <w:rFonts w:ascii="仿宋_GB2312" w:hAnsi="仿宋_GB2312" w:eastAsia="仿宋_GB2312" w:cs="仿宋_GB2312"/>
          <w:bCs/>
          <w:color w:val="000000"/>
          <w:kern w:val="0"/>
          <w:sz w:val="32"/>
          <w:szCs w:val="32"/>
        </w:rPr>
        <w:t>4</w:t>
      </w:r>
      <w:r>
        <w:rPr>
          <w:rFonts w:hint="eastAsia" w:ascii="仿宋_GB2312" w:hAnsi="仿宋_GB2312" w:eastAsia="仿宋_GB2312" w:cs="仿宋_GB2312"/>
          <w:bCs/>
          <w:color w:val="000000"/>
          <w:kern w:val="0"/>
          <w:sz w:val="32"/>
          <w:szCs w:val="32"/>
        </w:rPr>
        <w:t>月</w:t>
      </w:r>
      <w:r>
        <w:rPr>
          <w:rFonts w:ascii="仿宋_GB2312" w:hAnsi="仿宋_GB2312" w:eastAsia="仿宋_GB2312" w:cs="仿宋_GB2312"/>
          <w:bCs/>
          <w:color w:val="000000"/>
          <w:kern w:val="0"/>
          <w:sz w:val="32"/>
          <w:szCs w:val="32"/>
        </w:rPr>
        <w:t>26</w:t>
      </w:r>
      <w:r>
        <w:rPr>
          <w:rFonts w:hint="eastAsia" w:ascii="仿宋_GB2312" w:hAnsi="仿宋_GB2312" w:eastAsia="仿宋_GB2312" w:cs="仿宋_GB2312"/>
          <w:bCs/>
          <w:color w:val="000000"/>
          <w:kern w:val="0"/>
          <w:sz w:val="32"/>
          <w:szCs w:val="32"/>
        </w:rPr>
        <w:t>日第</w:t>
      </w:r>
      <w:r>
        <w:rPr>
          <w:rFonts w:hint="eastAsia" w:ascii="仿宋_GB2312" w:hAnsi="仿宋_GB2312" w:eastAsia="仿宋_GB2312" w:cs="仿宋_GB2312"/>
          <w:bCs/>
          <w:color w:val="000000"/>
          <w:kern w:val="0"/>
          <w:sz w:val="32"/>
          <w:szCs w:val="32"/>
          <w:lang w:val="en-US" w:eastAsia="zh-CN"/>
        </w:rPr>
        <w:t>8</w:t>
      </w:r>
      <w:r>
        <w:rPr>
          <w:rFonts w:hint="eastAsia" w:ascii="仿宋_GB2312" w:hAnsi="仿宋_GB2312" w:eastAsia="仿宋_GB2312" w:cs="仿宋_GB2312"/>
          <w:bCs/>
          <w:color w:val="000000"/>
          <w:kern w:val="0"/>
          <w:sz w:val="32"/>
          <w:szCs w:val="32"/>
        </w:rPr>
        <w:t>次院长办公会</w:t>
      </w:r>
      <w:r>
        <w:rPr>
          <w:rFonts w:hint="eastAsia" w:ascii="仿宋_GB2312" w:hAnsi="仿宋_GB2312" w:eastAsia="仿宋_GB2312" w:cs="仿宋_GB2312"/>
          <w:bCs/>
          <w:color w:val="000000"/>
          <w:kern w:val="0"/>
          <w:sz w:val="32"/>
          <w:szCs w:val="32"/>
          <w:lang w:eastAsia="zh-CN"/>
        </w:rPr>
        <w:t>议</w:t>
      </w:r>
      <w:r>
        <w:rPr>
          <w:rFonts w:hint="eastAsia" w:ascii="仿宋_GB2312" w:hAnsi="仿宋_GB2312" w:eastAsia="仿宋_GB2312" w:cs="仿宋_GB2312"/>
          <w:bCs/>
          <w:color w:val="000000"/>
          <w:kern w:val="0"/>
          <w:sz w:val="32"/>
          <w:szCs w:val="32"/>
          <w:lang w:val="en-US" w:eastAsia="zh-CN"/>
        </w:rPr>
        <w:t>第一次</w:t>
      </w:r>
      <w:r>
        <w:rPr>
          <w:rFonts w:hint="eastAsia" w:ascii="仿宋_GB2312" w:hAnsi="仿宋_GB2312" w:eastAsia="仿宋_GB2312" w:cs="仿宋_GB2312"/>
          <w:bCs/>
          <w:color w:val="000000"/>
          <w:kern w:val="0"/>
          <w:sz w:val="32"/>
          <w:szCs w:val="32"/>
        </w:rPr>
        <w:t>修订</w:t>
      </w:r>
      <w:r>
        <w:rPr>
          <w:rFonts w:hint="eastAsia" w:ascii="仿宋_GB2312" w:hAnsi="仿宋_GB2312" w:eastAsia="仿宋_GB2312" w:cs="仿宋_GB2312"/>
          <w:bCs/>
          <w:color w:val="000000"/>
          <w:kern w:val="0"/>
          <w:sz w:val="32"/>
          <w:szCs w:val="32"/>
          <w:lang w:val="en-US" w:eastAsia="zh-CN"/>
        </w:rPr>
        <w:t xml:space="preserve">  2022年5月11</w:t>
      </w:r>
      <w:bookmarkStart w:id="8" w:name="_GoBack"/>
      <w:bookmarkEnd w:id="8"/>
      <w:r>
        <w:rPr>
          <w:rFonts w:hint="eastAsia" w:ascii="仿宋_GB2312" w:hAnsi="仿宋_GB2312" w:eastAsia="仿宋_GB2312" w:cs="仿宋_GB2312"/>
          <w:bCs/>
          <w:color w:val="000000"/>
          <w:kern w:val="0"/>
          <w:sz w:val="32"/>
          <w:szCs w:val="32"/>
          <w:lang w:val="en-US" w:eastAsia="zh-CN"/>
        </w:rPr>
        <w:t>日发布  2024年11月14日</w:t>
      </w:r>
      <w:r>
        <w:rPr>
          <w:rFonts w:hint="eastAsia" w:ascii="仿宋_GB2312" w:hAnsi="仿宋_GB2312" w:eastAsia="仿宋_GB2312" w:cs="仿宋_GB2312"/>
          <w:bCs/>
          <w:color w:val="000000"/>
          <w:kern w:val="0"/>
          <w:sz w:val="32"/>
          <w:szCs w:val="32"/>
        </w:rPr>
        <w:t>第</w:t>
      </w:r>
      <w:r>
        <w:rPr>
          <w:rFonts w:hint="eastAsia" w:ascii="仿宋_GB2312" w:hAnsi="仿宋_GB2312" w:eastAsia="仿宋_GB2312" w:cs="仿宋_GB2312"/>
          <w:bCs/>
          <w:color w:val="000000"/>
          <w:kern w:val="0"/>
          <w:sz w:val="32"/>
          <w:szCs w:val="32"/>
          <w:lang w:val="en-US" w:eastAsia="zh-CN"/>
        </w:rPr>
        <w:t>29</w:t>
      </w:r>
      <w:r>
        <w:rPr>
          <w:rFonts w:hint="eastAsia" w:ascii="仿宋_GB2312" w:hAnsi="仿宋_GB2312" w:eastAsia="仿宋_GB2312" w:cs="仿宋_GB2312"/>
          <w:bCs/>
          <w:color w:val="000000"/>
          <w:kern w:val="0"/>
          <w:sz w:val="32"/>
          <w:szCs w:val="32"/>
        </w:rPr>
        <w:t>次院长办公会议</w:t>
      </w:r>
      <w:r>
        <w:rPr>
          <w:rFonts w:hint="eastAsia" w:ascii="仿宋_GB2312" w:hAnsi="仿宋_GB2312" w:eastAsia="仿宋_GB2312" w:cs="仿宋_GB2312"/>
          <w:bCs/>
          <w:color w:val="000000"/>
          <w:kern w:val="0"/>
          <w:sz w:val="32"/>
          <w:szCs w:val="32"/>
          <w:lang w:val="en-US" w:eastAsia="zh-CN"/>
        </w:rPr>
        <w:t>第二次</w:t>
      </w:r>
      <w:r>
        <w:rPr>
          <w:rFonts w:hint="eastAsia" w:ascii="仿宋_GB2312" w:hAnsi="仿宋_GB2312" w:eastAsia="仿宋_GB2312" w:cs="仿宋_GB2312"/>
          <w:bCs/>
          <w:color w:val="000000"/>
          <w:kern w:val="0"/>
          <w:sz w:val="32"/>
          <w:szCs w:val="32"/>
        </w:rPr>
        <w:t>修订</w:t>
      </w:r>
      <w:r>
        <w:rPr>
          <w:rFonts w:hint="eastAsia" w:ascii="仿宋_GB2312" w:hAnsi="仿宋_GB2312" w:eastAsia="仿宋_GB2312" w:cs="仿宋_GB2312"/>
          <w:bCs/>
          <w:color w:val="000000"/>
          <w:kern w:val="0"/>
          <w:sz w:val="32"/>
          <w:szCs w:val="32"/>
          <w:lang w:val="en-US" w:eastAsia="zh-CN"/>
        </w:rPr>
        <w:t xml:space="preserve">  </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18</w:t>
      </w:r>
      <w:r>
        <w:rPr>
          <w:rFonts w:hint="eastAsia" w:ascii="仿宋_GB2312" w:eastAsia="仿宋_GB2312"/>
          <w:sz w:val="32"/>
          <w:szCs w:val="32"/>
        </w:rPr>
        <w:t>日发布</w:t>
      </w:r>
      <w:r>
        <w:rPr>
          <w:rFonts w:hint="eastAsia" w:ascii="仿宋_GB2312" w:hAnsi="仿宋_GB2312" w:eastAsia="仿宋_GB2312" w:cs="仿宋_GB2312"/>
          <w:bCs/>
          <w:color w:val="000000"/>
          <w:kern w:val="0"/>
          <w:sz w:val="32"/>
          <w:szCs w:val="32"/>
        </w:rPr>
        <w:t>）</w:t>
      </w:r>
      <w:bookmarkEnd w:id="7"/>
    </w:p>
    <w:p w14:paraId="3C940E1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1"/>
        <w:rPr>
          <w:rFonts w:ascii="黑体" w:eastAsia="黑体"/>
          <w:sz w:val="32"/>
          <w:szCs w:val="32"/>
        </w:rPr>
      </w:pPr>
      <w:r>
        <w:rPr>
          <w:rFonts w:hint="eastAsia" w:ascii="黑体" w:eastAsia="黑体"/>
          <w:sz w:val="32"/>
          <w:szCs w:val="32"/>
        </w:rPr>
        <w:t>一、总则</w:t>
      </w:r>
    </w:p>
    <w:p w14:paraId="63A3505D">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eastAsia" w:ascii="仿宋_GB2312" w:hAnsi="宋体" w:eastAsia="仿宋_GB2312"/>
          <w:color w:val="000000"/>
          <w:sz w:val="32"/>
          <w:szCs w:val="32"/>
        </w:rPr>
      </w:pPr>
      <w:r>
        <w:rPr>
          <w:rFonts w:hint="eastAsia" w:ascii="仿宋_GB2312" w:hAnsi="仿宋_GB2312" w:eastAsia="仿宋_GB2312" w:cs="仿宋_GB2312"/>
          <w:b/>
          <w:bCs/>
          <w:sz w:val="32"/>
          <w:szCs w:val="32"/>
        </w:rPr>
        <w:t>第一条</w:t>
      </w:r>
      <w:r>
        <w:rPr>
          <w:rFonts w:hint="eastAsia" w:ascii="仿宋_GB2312" w:hAnsi="宋体" w:eastAsia="仿宋_GB2312"/>
          <w:color w:val="000000"/>
          <w:sz w:val="32"/>
          <w:szCs w:val="32"/>
        </w:rPr>
        <w:t xml:space="preserve"> 为进一步规范学院会计基础工作,完善财务报销手续，提高办事效率，更好地为教学、科研管理工作服务，根据《中华人民共和国会计法》《政府会计制度》《政府会计准则—基本准则》《会计基础工作规范》等相关财经法律法规，结合学院实际情况，制定本规定。</w:t>
      </w:r>
    </w:p>
    <w:p w14:paraId="6BE857C8">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宋体" w:eastAsia="仿宋_GB2312"/>
          <w:b/>
          <w:color w:val="000000"/>
          <w:sz w:val="32"/>
          <w:szCs w:val="32"/>
        </w:rPr>
        <w:t xml:space="preserve"> </w:t>
      </w:r>
      <w:r>
        <w:rPr>
          <w:rFonts w:hint="eastAsia" w:ascii="仿宋_GB2312" w:hAnsi="宋体" w:eastAsia="仿宋_GB2312"/>
          <w:color w:val="000000"/>
          <w:sz w:val="32"/>
          <w:szCs w:val="32"/>
        </w:rPr>
        <w:t>本规定适用于</w:t>
      </w:r>
      <w:r>
        <w:rPr>
          <w:rFonts w:hint="eastAsia" w:ascii="仿宋_GB2312" w:hAnsi="仿宋_GB2312" w:eastAsia="仿宋_GB2312" w:cs="仿宋_GB2312"/>
          <w:sz w:val="32"/>
          <w:szCs w:val="32"/>
        </w:rPr>
        <w:t>北京青年政治学院非独立核算二级单位及学院所属独立核算单位。</w:t>
      </w:r>
    </w:p>
    <w:p w14:paraId="645F28E1">
      <w:pPr>
        <w:keepNext w:val="0"/>
        <w:keepLines w:val="0"/>
        <w:pageBreakBefore w:val="0"/>
        <w:widowControl w:val="0"/>
        <w:kinsoku/>
        <w:wordWrap/>
        <w:overflowPunct/>
        <w:topLinePunct w:val="0"/>
        <w:autoSpaceDE/>
        <w:autoSpaceDN/>
        <w:bidi w:val="0"/>
        <w:adjustRightInd/>
        <w:spacing w:line="560" w:lineRule="exact"/>
        <w:ind w:firstLine="643" w:firstLineChars="200"/>
        <w:contextualSpacing/>
        <w:textAlignment w:val="auto"/>
        <w:rPr>
          <w:rFonts w:hint="eastAsia" w:ascii="仿宋_GB2312" w:hAnsi="宋体" w:eastAsia="仿宋_GB2312"/>
          <w:bCs/>
          <w:color w:val="000000"/>
          <w:sz w:val="32"/>
          <w:szCs w:val="32"/>
        </w:rPr>
      </w:pPr>
      <w:r>
        <w:rPr>
          <w:rFonts w:hint="eastAsia" w:ascii="仿宋_GB2312" w:hAnsi="仿宋_GB2312" w:eastAsia="仿宋_GB2312" w:cs="仿宋_GB2312"/>
          <w:b/>
          <w:bCs/>
          <w:sz w:val="32"/>
          <w:szCs w:val="32"/>
        </w:rPr>
        <w:t>第三条</w:t>
      </w:r>
      <w:r>
        <w:rPr>
          <w:rFonts w:hint="eastAsia" w:ascii="黑体" w:eastAsia="黑体"/>
          <w:sz w:val="32"/>
          <w:szCs w:val="32"/>
        </w:rPr>
        <w:t xml:space="preserve"> </w:t>
      </w:r>
      <w:r>
        <w:rPr>
          <w:rFonts w:hint="eastAsia" w:ascii="仿宋_GB2312" w:hAnsi="宋体" w:eastAsia="仿宋_GB2312"/>
          <w:bCs/>
          <w:color w:val="000000"/>
          <w:sz w:val="32"/>
          <w:szCs w:val="32"/>
        </w:rPr>
        <w:t>经费负责人对职权范围内经济活动的真实性、合法性、有效性负责；对不真实、不合法、不规范的票据，不得进行报销。经费由各单位主管财务的负责人审批。因特殊情况需他人代为审批时，需向财务处提供书面委托。</w:t>
      </w:r>
    </w:p>
    <w:p w14:paraId="4ACCFDB1">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宋体" w:eastAsia="仿宋_GB2312"/>
          <w:bCs/>
          <w:color w:val="000000"/>
          <w:sz w:val="32"/>
          <w:szCs w:val="32"/>
        </w:rPr>
      </w:pPr>
      <w:r>
        <w:rPr>
          <w:rFonts w:hint="eastAsia" w:ascii="仿宋_GB2312" w:hAnsi="宋体" w:eastAsia="仿宋_GB2312"/>
          <w:bCs/>
          <w:color w:val="000000"/>
          <w:sz w:val="32"/>
          <w:szCs w:val="32"/>
        </w:rPr>
        <w:t>学院各单位确定一名财务经办员,负责本单位财务报销、财务信息沟通等业务,长期安排本单位非在编人员办理报销手续的，应由经费负责人提交书面委托书后方可办理。</w:t>
      </w:r>
    </w:p>
    <w:p w14:paraId="741E2C7F">
      <w:pPr>
        <w:keepNext w:val="0"/>
        <w:keepLines w:val="0"/>
        <w:pageBreakBefore w:val="0"/>
        <w:widowControl w:val="0"/>
        <w:kinsoku/>
        <w:wordWrap/>
        <w:overflowPunct/>
        <w:topLinePunct w:val="0"/>
        <w:autoSpaceDE/>
        <w:autoSpaceDN/>
        <w:bidi w:val="0"/>
        <w:adjustRightInd/>
        <w:snapToGrid w:val="0"/>
        <w:spacing w:before="312" w:beforeLines="100" w:line="560" w:lineRule="exact"/>
        <w:jc w:val="center"/>
        <w:textAlignment w:val="auto"/>
        <w:outlineLvl w:val="1"/>
        <w:rPr>
          <w:rFonts w:hint="eastAsia" w:ascii="黑体" w:hAnsi="宋体" w:eastAsia="黑体"/>
          <w:color w:val="000000"/>
          <w:sz w:val="32"/>
          <w:szCs w:val="32"/>
        </w:rPr>
      </w:pPr>
      <w:r>
        <w:rPr>
          <w:rFonts w:hint="eastAsia" w:ascii="黑体" w:hAnsi="宋体" w:eastAsia="黑体"/>
          <w:color w:val="000000"/>
          <w:sz w:val="32"/>
          <w:szCs w:val="32"/>
        </w:rPr>
        <w:t>二、审批权限</w:t>
      </w:r>
    </w:p>
    <w:p w14:paraId="70B5D15B">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宋体" w:eastAsia="仿宋_GB2312"/>
          <w:color w:val="000000"/>
          <w:kern w:val="0"/>
          <w:sz w:val="32"/>
          <w:szCs w:val="32"/>
        </w:rPr>
      </w:pPr>
      <w:r>
        <w:rPr>
          <w:rFonts w:hint="eastAsia" w:ascii="仿宋_GB2312" w:hAnsi="仿宋_GB2312" w:eastAsia="仿宋_GB2312" w:cs="仿宋_GB2312"/>
          <w:b/>
          <w:bCs/>
          <w:sz w:val="32"/>
          <w:szCs w:val="32"/>
        </w:rPr>
        <w:t>第四条</w:t>
      </w:r>
      <w:r>
        <w:rPr>
          <w:rFonts w:hint="eastAsia" w:ascii="仿宋_GB2312" w:hAnsi="宋体" w:eastAsia="仿宋_GB2312"/>
          <w:b/>
          <w:color w:val="000000"/>
          <w:sz w:val="32"/>
          <w:szCs w:val="32"/>
        </w:rPr>
        <w:t xml:space="preserve"> </w:t>
      </w:r>
      <w:r>
        <w:rPr>
          <w:rFonts w:hint="eastAsia" w:ascii="仿宋_GB2312" w:hAnsi="宋体" w:eastAsia="仿宋_GB2312"/>
          <w:color w:val="000000"/>
          <w:kern w:val="0"/>
          <w:sz w:val="32"/>
          <w:szCs w:val="32"/>
        </w:rPr>
        <w:t>经费审批管理权限</w:t>
      </w:r>
    </w:p>
    <w:p w14:paraId="30A180E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highlight w:val="none"/>
        </w:rPr>
        <w:t>1.学院各二级学院（中心）基本经费审批管理。单笔金额在0.5万元（含）以下的由二级学院（中心）分管财务副院长（副主任）和院长（主任）共同审签。单笔金额在</w:t>
      </w:r>
      <w:r>
        <w:rPr>
          <w:rFonts w:ascii="仿宋_GB2312" w:hAnsi="宋体" w:eastAsia="仿宋_GB2312"/>
          <w:bCs/>
          <w:color w:val="000000"/>
          <w:sz w:val="32"/>
          <w:szCs w:val="32"/>
          <w:highlight w:val="none"/>
        </w:rPr>
        <w:t>0.5</w:t>
      </w:r>
      <w:r>
        <w:rPr>
          <w:rFonts w:hint="eastAsia" w:ascii="仿宋_GB2312" w:hAnsi="宋体" w:eastAsia="仿宋_GB2312"/>
          <w:bCs/>
          <w:color w:val="000000"/>
          <w:sz w:val="32"/>
          <w:szCs w:val="32"/>
          <w:highlight w:val="none"/>
        </w:rPr>
        <w:t>万元以上</w:t>
      </w:r>
      <w:r>
        <w:rPr>
          <w:rFonts w:ascii="仿宋_GB2312" w:hAnsi="宋体" w:eastAsia="仿宋_GB2312"/>
          <w:bCs/>
          <w:color w:val="000000"/>
          <w:sz w:val="32"/>
          <w:szCs w:val="32"/>
          <w:highlight w:val="none"/>
        </w:rPr>
        <w:t>2</w:t>
      </w:r>
      <w:r>
        <w:rPr>
          <w:rFonts w:hint="eastAsia" w:ascii="仿宋_GB2312" w:hAnsi="宋体" w:eastAsia="仿宋_GB2312"/>
          <w:bCs/>
          <w:color w:val="000000"/>
          <w:sz w:val="32"/>
          <w:szCs w:val="32"/>
          <w:highlight w:val="none"/>
        </w:rPr>
        <w:t>万元（含）以下的由二级学院（中心）分管财务副院长（副主任）、院长（主任）和书记共同审签（国际学院外方经费所有业务均需外方负责人审签）。单笔</w:t>
      </w:r>
      <w:r>
        <w:rPr>
          <w:rFonts w:hint="eastAsia" w:ascii="仿宋_GB2312" w:hAnsi="宋体" w:eastAsia="仿宋_GB2312"/>
          <w:bCs/>
          <w:color w:val="000000"/>
          <w:sz w:val="32"/>
          <w:szCs w:val="32"/>
        </w:rPr>
        <w:t>金额在</w:t>
      </w:r>
      <w:r>
        <w:rPr>
          <w:rFonts w:ascii="仿宋_GB2312" w:hAnsi="宋体" w:eastAsia="仿宋_GB2312"/>
          <w:bCs/>
          <w:color w:val="000000"/>
          <w:sz w:val="32"/>
          <w:szCs w:val="32"/>
        </w:rPr>
        <w:t>2</w:t>
      </w:r>
      <w:r>
        <w:rPr>
          <w:rFonts w:hint="eastAsia" w:ascii="仿宋_GB2312" w:hAnsi="宋体" w:eastAsia="仿宋_GB2312"/>
          <w:bCs/>
          <w:color w:val="000000"/>
          <w:sz w:val="32"/>
          <w:szCs w:val="32"/>
        </w:rPr>
        <w:t>万元以上的须同时报业务分管院领导审批，单笔金额在20万元（含）以上的须同时报分管财务院领导审批，单笔金额50万元（含）以上的须同时报学院院长审批。单笔金额在100万元（含）以上的大额度支出事项按照</w:t>
      </w:r>
      <w:r>
        <w:rPr>
          <w:rFonts w:ascii="仿宋_GB2312" w:hAnsi="宋体" w:eastAsia="仿宋_GB2312"/>
          <w:bCs/>
          <w:color w:val="000000"/>
          <w:sz w:val="32"/>
          <w:szCs w:val="32"/>
        </w:rPr>
        <w:t>《中共北京青年政治学院委员会关于落实“三重一大”制度的实施办法》</w:t>
      </w:r>
      <w:r>
        <w:rPr>
          <w:rFonts w:hint="eastAsia" w:ascii="仿宋_GB2312" w:hAnsi="宋体" w:eastAsia="仿宋_GB2312"/>
          <w:bCs/>
          <w:color w:val="000000"/>
          <w:sz w:val="32"/>
          <w:szCs w:val="32"/>
        </w:rPr>
        <w:t>执行。</w:t>
      </w:r>
    </w:p>
    <w:p w14:paraId="27982375">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ascii="仿宋_GB2312" w:hAnsi="宋体" w:eastAsia="仿宋_GB2312"/>
          <w:bCs/>
          <w:color w:val="000000"/>
          <w:sz w:val="32"/>
          <w:szCs w:val="32"/>
        </w:rPr>
        <w:t>2</w:t>
      </w:r>
      <w:r>
        <w:rPr>
          <w:rFonts w:hint="eastAsia" w:ascii="仿宋_GB2312" w:hAnsi="宋体" w:eastAsia="仿宋_GB2312"/>
          <w:bCs/>
          <w:color w:val="000000"/>
          <w:sz w:val="32"/>
          <w:szCs w:val="32"/>
        </w:rPr>
        <w:t>.学院各职能和教辅部门基本经费审批管理。单笔金额在1万元（含）以下的由各职能和教辅部门经费负责人审签。凡单笔金额在1万元以上的须同时报分管院领导审批，单笔金额在20万元（含）以上的须同时报分管财务院领导审批，单笔金额在50万元（含）以上的须同时报学院院长审批。单笔金额在100万元（含）以上的大额度支出事项按照</w:t>
      </w:r>
      <w:r>
        <w:rPr>
          <w:rFonts w:ascii="仿宋_GB2312" w:hAnsi="宋体" w:eastAsia="仿宋_GB2312"/>
          <w:bCs/>
          <w:color w:val="000000"/>
          <w:sz w:val="32"/>
          <w:szCs w:val="32"/>
        </w:rPr>
        <w:t>《中共北京青年政治学院委员会关于落实“三重一大”制度的实施办法》</w:t>
      </w:r>
      <w:r>
        <w:rPr>
          <w:rFonts w:hint="eastAsia" w:ascii="仿宋_GB2312" w:hAnsi="宋体" w:eastAsia="仿宋_GB2312"/>
          <w:bCs/>
          <w:color w:val="000000"/>
          <w:sz w:val="32"/>
          <w:szCs w:val="32"/>
        </w:rPr>
        <w:t>执行。</w:t>
      </w:r>
    </w:p>
    <w:p w14:paraId="44A4FBC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sz w:val="32"/>
          <w:szCs w:val="32"/>
        </w:rPr>
        <w:t>3.项目经费审批管理。凡单笔金额在10万元以下的（含财</w:t>
      </w:r>
      <w:r>
        <w:rPr>
          <w:rFonts w:hint="eastAsia" w:ascii="仿宋_GB2312" w:hAnsi="宋体" w:eastAsia="仿宋_GB2312"/>
          <w:bCs/>
          <w:color w:val="000000"/>
          <w:sz w:val="32"/>
          <w:szCs w:val="32"/>
        </w:rPr>
        <w:t>政批复项目、校内专项、其他项目等）由各单位项目负责人审签；单笔金额在10万元（含）以上的由各单位项目负责人签字后须同时报业务分管院领导审批；单笔金额在20万元（含）以上的须同时报分管财务院领导审批；单笔金额在50万元（含）以上的须同时报院长审批。单笔金额在100万元（含）以上的大额度支出事项按照</w:t>
      </w:r>
      <w:r>
        <w:rPr>
          <w:rFonts w:ascii="仿宋_GB2312" w:hAnsi="宋体" w:eastAsia="仿宋_GB2312"/>
          <w:bCs/>
          <w:color w:val="000000"/>
          <w:sz w:val="32"/>
          <w:szCs w:val="32"/>
        </w:rPr>
        <w:t>《中共北京青年政治学院委员会关于落实“三重一大”制度的实施办法》</w:t>
      </w:r>
      <w:r>
        <w:rPr>
          <w:rFonts w:hint="eastAsia" w:ascii="仿宋_GB2312" w:hAnsi="宋体" w:eastAsia="仿宋_GB2312"/>
          <w:bCs/>
          <w:color w:val="000000"/>
          <w:sz w:val="32"/>
          <w:szCs w:val="32"/>
        </w:rPr>
        <w:t>执行。科研项目支出审批权限按《北京青年政治学院科研项目经费支出实施细则》执行。</w:t>
      </w:r>
    </w:p>
    <w:p w14:paraId="5433E455">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4.学院在职人员经费（含非在编人员、退休人员）审批管理。在职人员按国家规定核拨的基本工资、津贴补贴、绩效工资、各类社会保险、职业年金、派遣人员服务费、退休人员的补贴等支</w:t>
      </w:r>
      <w:r>
        <w:rPr>
          <w:rFonts w:hint="eastAsia" w:ascii="仿宋_GB2312" w:hAnsi="宋体" w:eastAsia="仿宋_GB2312"/>
          <w:sz w:val="32"/>
          <w:szCs w:val="32"/>
        </w:rPr>
        <w:t>出由人事处负责按政策核定,经其负责人审签后,报分管院领导审批；物业补贴、取暖补贴、住房公积金、住房补贴等支出由</w:t>
      </w:r>
      <w:r>
        <w:rPr>
          <w:rFonts w:hint="eastAsia" w:ascii="仿宋_GB2312" w:eastAsia="仿宋_GB2312"/>
          <w:bCs/>
          <w:sz w:val="32"/>
          <w:szCs w:val="32"/>
        </w:rPr>
        <w:t>资产管理处</w:t>
      </w:r>
      <w:r>
        <w:rPr>
          <w:rFonts w:hint="eastAsia" w:ascii="仿宋_GB2312" w:hAnsi="宋体" w:eastAsia="仿宋_GB2312"/>
          <w:sz w:val="32"/>
          <w:szCs w:val="32"/>
        </w:rPr>
        <w:t>负责</w:t>
      </w:r>
      <w:r>
        <w:rPr>
          <w:rFonts w:hint="eastAsia" w:ascii="仿宋_GB2312" w:hAnsi="宋体" w:eastAsia="仿宋_GB2312"/>
          <w:bCs/>
          <w:color w:val="000000"/>
          <w:sz w:val="32"/>
          <w:szCs w:val="32"/>
        </w:rPr>
        <w:t>按政策核定，经其负责人审签后,报分管院领导审批。</w:t>
      </w:r>
    </w:p>
    <w:p w14:paraId="2AE8FE8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5.其他人员经费审批权限。凡各单位核发纳入绩效工资总额管理范围的津贴补贴、课酬、奖励性绩效等，业务分管院领导按本条规定的审批管理权限审签后，报人事处汇总审签。</w:t>
      </w:r>
    </w:p>
    <w:p w14:paraId="6ABB43F6">
      <w:pPr>
        <w:keepNext w:val="0"/>
        <w:keepLines w:val="0"/>
        <w:pageBreakBefore w:val="0"/>
        <w:widowControl w:val="0"/>
        <w:kinsoku/>
        <w:wordWrap/>
        <w:overflowPunct/>
        <w:topLinePunct w:val="0"/>
        <w:autoSpaceDE/>
        <w:autoSpaceDN/>
        <w:bidi w:val="0"/>
        <w:adjustRightInd/>
        <w:snapToGrid w:val="0"/>
        <w:spacing w:before="312" w:beforeLines="100" w:line="560" w:lineRule="exact"/>
        <w:jc w:val="center"/>
        <w:textAlignment w:val="auto"/>
        <w:outlineLvl w:val="1"/>
        <w:rPr>
          <w:rFonts w:hint="eastAsia" w:ascii="黑体" w:eastAsia="黑体"/>
          <w:sz w:val="32"/>
          <w:szCs w:val="32"/>
        </w:rPr>
      </w:pPr>
      <w:r>
        <w:rPr>
          <w:rFonts w:hint="eastAsia" w:ascii="黑体" w:eastAsia="黑体"/>
          <w:sz w:val="32"/>
          <w:szCs w:val="32"/>
        </w:rPr>
        <w:t>三、财务报销票据</w:t>
      </w:r>
    </w:p>
    <w:p w14:paraId="14FBB478">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宋体" w:eastAsia="仿宋_GB2312"/>
          <w:bCs/>
          <w:color w:val="000000"/>
          <w:sz w:val="32"/>
          <w:szCs w:val="32"/>
        </w:rPr>
      </w:pPr>
      <w:r>
        <w:rPr>
          <w:rFonts w:hint="eastAsia" w:ascii="仿宋_GB2312" w:hAnsi="仿宋_GB2312" w:eastAsia="仿宋_GB2312" w:cs="仿宋_GB2312"/>
          <w:b/>
          <w:bCs/>
          <w:sz w:val="32"/>
          <w:szCs w:val="32"/>
        </w:rPr>
        <w:t>第五条</w:t>
      </w:r>
      <w:r>
        <w:rPr>
          <w:rFonts w:hint="eastAsia" w:ascii="仿宋_GB2312" w:hAnsi="宋体" w:eastAsia="仿宋_GB2312"/>
          <w:bCs/>
          <w:color w:val="000000"/>
          <w:sz w:val="32"/>
          <w:szCs w:val="32"/>
        </w:rPr>
        <w:t xml:space="preserve"> 票据的合法性。各种票据必须按规定范围使用，超范围使用的不得作为报销凭据。常用作报销凭据的票据基本要求如下：</w:t>
      </w:r>
    </w:p>
    <w:p w14:paraId="1A9B7886">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1.发票内容必须与实际业务保持一致，不得有虚假。</w:t>
      </w:r>
    </w:p>
    <w:p w14:paraId="4C0E1D0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2.税务发票。报销的发票必须有税务机关统一印制的发票监制章，加盖开票单位发票专用章，并且在税务机关规定的发票使用有效期内。电子发票按照税务机关相关规定执行。</w:t>
      </w:r>
    </w:p>
    <w:p w14:paraId="52B92D3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3.财政票据。必须有省或市级财政部门统一印制的财政票据监制章，加盖开票单位发票专用章，并在票据使用有效期内。</w:t>
      </w:r>
    </w:p>
    <w:p w14:paraId="1FEEE72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4.学院内部转账单。必须是财务处统一印制的院内结算单据。</w:t>
      </w:r>
    </w:p>
    <w:p w14:paraId="79ED601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宋体" w:eastAsia="仿宋_GB2312"/>
          <w:bCs/>
          <w:color w:val="000000"/>
          <w:sz w:val="32"/>
          <w:szCs w:val="32"/>
        </w:rPr>
      </w:pPr>
      <w:r>
        <w:rPr>
          <w:rFonts w:hint="eastAsia" w:ascii="仿宋_GB2312" w:hAnsi="宋体" w:eastAsia="仿宋_GB2312"/>
          <w:bCs/>
          <w:color w:val="000000"/>
          <w:sz w:val="32"/>
          <w:szCs w:val="32"/>
        </w:rPr>
        <w:t>5.收据。</w:t>
      </w:r>
      <w:r>
        <w:rPr>
          <w:rFonts w:ascii="仿宋_GB2312" w:hAnsi="宋体" w:eastAsia="仿宋_GB2312"/>
          <w:bCs/>
          <w:color w:val="000000"/>
          <w:sz w:val="32"/>
          <w:szCs w:val="32"/>
        </w:rPr>
        <w:t>内部收据是单位内部的自制凭据，用于单位内部发生的业务，如</w:t>
      </w:r>
      <w:r>
        <w:rPr>
          <w:rFonts w:hint="eastAsia" w:ascii="仿宋_GB2312" w:hAnsi="宋体" w:eastAsia="仿宋_GB2312"/>
          <w:bCs/>
          <w:color w:val="000000"/>
          <w:sz w:val="32"/>
          <w:szCs w:val="32"/>
        </w:rPr>
        <w:t>代收党费团费、水电费、电话费、职工保险</w:t>
      </w:r>
      <w:r>
        <w:rPr>
          <w:rFonts w:ascii="仿宋_GB2312" w:hAnsi="宋体" w:eastAsia="仿宋_GB2312"/>
          <w:bCs/>
          <w:color w:val="000000"/>
          <w:sz w:val="32"/>
          <w:szCs w:val="32"/>
        </w:rPr>
        <w:t>等。</w:t>
      </w:r>
      <w:r>
        <w:rPr>
          <w:rFonts w:hint="eastAsia" w:ascii="仿宋_GB2312" w:hAnsi="宋体" w:eastAsia="仿宋_GB2312"/>
          <w:bCs/>
          <w:color w:val="000000"/>
          <w:sz w:val="32"/>
          <w:szCs w:val="32"/>
        </w:rPr>
        <w:t>此类</w:t>
      </w:r>
      <w:r>
        <w:rPr>
          <w:rFonts w:ascii="仿宋_GB2312" w:hAnsi="宋体" w:eastAsia="仿宋_GB2312"/>
          <w:bCs/>
          <w:color w:val="000000"/>
          <w:sz w:val="32"/>
          <w:szCs w:val="32"/>
        </w:rPr>
        <w:t>内部自制收据是合法的凭据，可以作为成本费用入账。</w:t>
      </w:r>
    </w:p>
    <w:p w14:paraId="75B0AE3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6.学院自制票据。由学院财务处统一印制的领款单、借款单、报销单、内部结算单等用于学院各单位发生经济业务报销时使用。非学院财务处统一印制单据报销时不得使用。</w:t>
      </w:r>
    </w:p>
    <w:p w14:paraId="13A85D5F">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宋体" w:eastAsia="仿宋_GB2312"/>
          <w:bCs/>
          <w:color w:val="000000"/>
          <w:sz w:val="32"/>
          <w:szCs w:val="32"/>
        </w:rPr>
      </w:pPr>
      <w:r>
        <w:rPr>
          <w:rFonts w:hint="eastAsia" w:ascii="仿宋_GB2312" w:hAnsi="仿宋_GB2312" w:eastAsia="仿宋_GB2312" w:cs="仿宋_GB2312"/>
          <w:b/>
          <w:bCs/>
          <w:sz w:val="32"/>
          <w:szCs w:val="32"/>
        </w:rPr>
        <w:t>第六条</w:t>
      </w:r>
      <w:r>
        <w:rPr>
          <w:rFonts w:hint="eastAsia" w:ascii="仿宋_GB2312" w:hAnsi="宋体" w:eastAsia="仿宋_GB2312"/>
          <w:bCs/>
          <w:color w:val="000000"/>
          <w:sz w:val="32"/>
          <w:szCs w:val="32"/>
        </w:rPr>
        <w:t xml:space="preserve">  票据的填写要求</w:t>
      </w:r>
    </w:p>
    <w:p w14:paraId="29537269">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1.发票或收据必须填制完整。单位名称（全称）、日期、经济业务内容（摘要）、数量、单价、金额、收款人等项目据实填写完整。</w:t>
      </w:r>
    </w:p>
    <w:p w14:paraId="02EB9706">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2.各种自制原始凭证、单据书写要做到内容完整。人民币金额大小写要正确、相符，小写必须写到分位，没有的用“0”补齐。</w:t>
      </w:r>
    </w:p>
    <w:p w14:paraId="150BE1B4">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3.票据填写字迹要清楚，不得有涂改、挖补等现象。若出现内容有误，应由出具单位重开。</w:t>
      </w:r>
    </w:p>
    <w:p w14:paraId="3F31A53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4.原始票据内容无法填开明细时，需取得明细清单。</w:t>
      </w:r>
    </w:p>
    <w:p w14:paraId="2C90550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 w:hAnsi="仿宋" w:eastAsia="仿宋"/>
          <w:color w:val="000000"/>
          <w:sz w:val="32"/>
          <w:szCs w:val="32"/>
        </w:rPr>
      </w:pPr>
      <w:r>
        <w:rPr>
          <w:rFonts w:hint="eastAsia" w:ascii="仿宋_GB2312" w:hAnsi="宋体" w:eastAsia="仿宋_GB2312"/>
          <w:bCs/>
          <w:color w:val="000000"/>
          <w:sz w:val="32"/>
          <w:szCs w:val="32"/>
        </w:rPr>
        <w:t>5.财政电子票据和税务电子发票的法律效力和使用规定与纸质票据相同。根据需要自行打印的税务电子发票版式文件可作为报销凭证，不得重复打印报销，并在发票上注明：“本人承诺此发票只报销一次”，承诺人签字后方可报销。</w:t>
      </w:r>
    </w:p>
    <w:p w14:paraId="54FF7D7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6</w:t>
      </w:r>
      <w:r>
        <w:rPr>
          <w:rFonts w:hint="eastAsia" w:ascii="仿宋_GB2312" w:hAnsi="宋体" w:eastAsia="仿宋_GB2312"/>
          <w:sz w:val="32"/>
          <w:szCs w:val="32"/>
        </w:rPr>
        <w:t>.</w:t>
      </w:r>
      <w:r>
        <w:rPr>
          <w:rFonts w:hint="eastAsia" w:ascii="仿宋_GB2312" w:hAnsi="宋体" w:eastAsia="仿宋_GB2312"/>
          <w:bCs/>
          <w:color w:val="000000"/>
          <w:sz w:val="32"/>
          <w:szCs w:val="32"/>
        </w:rPr>
        <w:t>所有单据内容填写和签字一律用蓝黑或碳素墨水书写。</w:t>
      </w:r>
    </w:p>
    <w:p w14:paraId="65110D79">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宋体" w:eastAsia="仿宋_GB2312"/>
          <w:bCs/>
          <w:color w:val="000000"/>
          <w:sz w:val="32"/>
          <w:szCs w:val="32"/>
        </w:rPr>
      </w:pPr>
      <w:r>
        <w:rPr>
          <w:rFonts w:hint="eastAsia" w:ascii="仿宋_GB2312" w:hAnsi="仿宋_GB2312" w:eastAsia="仿宋_GB2312" w:cs="仿宋_GB2312"/>
          <w:b/>
          <w:bCs/>
          <w:sz w:val="32"/>
          <w:szCs w:val="32"/>
        </w:rPr>
        <w:t>第七条</w:t>
      </w:r>
      <w:r>
        <w:rPr>
          <w:rFonts w:hint="eastAsia" w:ascii="仿宋_GB2312" w:hAnsi="宋体" w:eastAsia="仿宋_GB2312"/>
          <w:b/>
          <w:color w:val="000000"/>
          <w:sz w:val="32"/>
          <w:szCs w:val="32"/>
        </w:rPr>
        <w:t xml:space="preserve"> </w:t>
      </w:r>
      <w:r>
        <w:rPr>
          <w:rFonts w:hint="eastAsia" w:ascii="仿宋_GB2312" w:hAnsi="宋体" w:eastAsia="仿宋_GB2312"/>
          <w:bCs/>
          <w:color w:val="000000"/>
          <w:sz w:val="32"/>
          <w:szCs w:val="32"/>
        </w:rPr>
        <w:t>遗失票据的报销</w:t>
      </w:r>
    </w:p>
    <w:p w14:paraId="7EA3177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1</w:t>
      </w:r>
      <w:r>
        <w:rPr>
          <w:rFonts w:hint="eastAsia" w:ascii="仿宋_GB2312" w:hAnsi="宋体" w:eastAsia="仿宋_GB2312"/>
          <w:sz w:val="32"/>
          <w:szCs w:val="32"/>
        </w:rPr>
        <w:t>.</w:t>
      </w:r>
      <w:r>
        <w:rPr>
          <w:rFonts w:hint="eastAsia" w:ascii="仿宋_GB2312" w:hAnsi="宋体" w:eastAsia="仿宋_GB2312"/>
          <w:bCs/>
          <w:color w:val="000000"/>
          <w:sz w:val="32"/>
          <w:szCs w:val="32"/>
        </w:rPr>
        <w:t>遗失飞机、车船票据。由当事人提出书面情况说明，包括所乘交通工具的日期、时间、车次、航班信息、起始地点和票价等内容，由经费负责人签字确认、加盖本单位公章并提供订票信息，可凭书面情况说明和订票信息代替原始凭证报销。如果无法提供订票信息遗失飞机、车船票据的，只能按照同程火车票最低票价，在规定的标准内给予报销。</w:t>
      </w:r>
    </w:p>
    <w:p w14:paraId="7F6E733E">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2</w:t>
      </w:r>
      <w:r>
        <w:rPr>
          <w:rFonts w:hint="eastAsia" w:ascii="仿宋_GB2312" w:hAnsi="宋体" w:eastAsia="仿宋_GB2312"/>
          <w:sz w:val="32"/>
          <w:szCs w:val="32"/>
        </w:rPr>
        <w:t>.</w:t>
      </w:r>
      <w:r>
        <w:rPr>
          <w:rFonts w:hint="eastAsia" w:ascii="仿宋_GB2312" w:hAnsi="宋体" w:eastAsia="仿宋_GB2312"/>
          <w:bCs/>
          <w:color w:val="000000"/>
          <w:sz w:val="32"/>
          <w:szCs w:val="32"/>
        </w:rPr>
        <w:t>遗失从外单位取得的原始票据（含发票、收据），应取得原开票单位的同一发票记账联的复印件，并在复印件上重新加盖开票单位发票专用章，当事人提供情况说明，经费负责人签字，并加盖本单位公章，方可作为报销依据。</w:t>
      </w:r>
    </w:p>
    <w:p w14:paraId="4703EB64">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宋体" w:eastAsia="仿宋_GB2312"/>
          <w:bCs/>
          <w:color w:val="000000"/>
          <w:sz w:val="32"/>
          <w:szCs w:val="32"/>
        </w:rPr>
      </w:pPr>
      <w:r>
        <w:rPr>
          <w:rFonts w:hint="eastAsia" w:ascii="仿宋_GB2312" w:hAnsi="仿宋_GB2312" w:eastAsia="仿宋_GB2312" w:cs="仿宋_GB2312"/>
          <w:b/>
          <w:bCs/>
          <w:sz w:val="32"/>
          <w:szCs w:val="32"/>
        </w:rPr>
        <w:t xml:space="preserve">第八条 </w:t>
      </w:r>
      <w:r>
        <w:rPr>
          <w:rFonts w:hint="eastAsia" w:ascii="仿宋_GB2312" w:hAnsi="宋体" w:eastAsia="仿宋_GB2312"/>
          <w:bCs/>
          <w:color w:val="000000"/>
          <w:sz w:val="32"/>
          <w:szCs w:val="32"/>
        </w:rPr>
        <w:t>当年取得的票据（以发票上的日期为准），当年报销完毕。年终结账后取得的票据，可延长至下一年3月31日，超过期限的票据在无特殊情况下不予报销。</w:t>
      </w:r>
    </w:p>
    <w:p w14:paraId="4E076FEC">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宋体" w:eastAsia="仿宋_GB2312"/>
          <w:bCs/>
          <w:color w:val="000000"/>
          <w:sz w:val="32"/>
          <w:szCs w:val="32"/>
        </w:rPr>
      </w:pPr>
      <w:r>
        <w:rPr>
          <w:rFonts w:hint="eastAsia" w:ascii="仿宋_GB2312" w:hAnsi="仿宋_GB2312" w:eastAsia="仿宋_GB2312" w:cs="仿宋_GB2312"/>
          <w:b/>
          <w:bCs/>
          <w:sz w:val="32"/>
          <w:szCs w:val="32"/>
        </w:rPr>
        <w:t>第九条</w:t>
      </w:r>
      <w:r>
        <w:rPr>
          <w:rFonts w:hint="eastAsia" w:ascii="黑体" w:eastAsia="黑体"/>
          <w:sz w:val="32"/>
          <w:szCs w:val="32"/>
        </w:rPr>
        <w:t xml:space="preserve"> </w:t>
      </w:r>
      <w:r>
        <w:rPr>
          <w:rFonts w:hint="eastAsia" w:ascii="仿宋_GB2312" w:hAnsi="宋体" w:eastAsia="仿宋_GB2312"/>
          <w:bCs/>
          <w:color w:val="000000"/>
          <w:sz w:val="32"/>
          <w:szCs w:val="32"/>
        </w:rPr>
        <w:t>取得的国外发票，必须翻译成中文，并由翻译人签字，学院财务处根据经济业务实际发生时的汇率换算成人民币后报销。</w:t>
      </w:r>
    </w:p>
    <w:p w14:paraId="221A4C90">
      <w:pPr>
        <w:keepNext w:val="0"/>
        <w:keepLines w:val="0"/>
        <w:pageBreakBefore w:val="0"/>
        <w:widowControl w:val="0"/>
        <w:kinsoku/>
        <w:wordWrap/>
        <w:overflowPunct/>
        <w:topLinePunct w:val="0"/>
        <w:autoSpaceDE/>
        <w:autoSpaceDN/>
        <w:bidi w:val="0"/>
        <w:adjustRightInd/>
        <w:snapToGrid w:val="0"/>
        <w:spacing w:before="312" w:beforeLines="100" w:line="560" w:lineRule="exact"/>
        <w:jc w:val="center"/>
        <w:textAlignment w:val="auto"/>
        <w:outlineLvl w:val="1"/>
        <w:rPr>
          <w:rFonts w:hint="eastAsia" w:ascii="黑体" w:hAnsi="宋体" w:eastAsia="黑体"/>
          <w:color w:val="000000"/>
          <w:sz w:val="32"/>
          <w:szCs w:val="32"/>
        </w:rPr>
      </w:pPr>
      <w:r>
        <w:rPr>
          <w:rFonts w:hint="eastAsia" w:ascii="黑体" w:hAnsi="宋体" w:eastAsia="黑体"/>
          <w:color w:val="000000"/>
          <w:sz w:val="32"/>
          <w:szCs w:val="32"/>
        </w:rPr>
        <w:t>四、财务报销手续和要求</w:t>
      </w:r>
    </w:p>
    <w:p w14:paraId="744AB179">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宋体" w:eastAsia="仿宋_GB2312" w:cs="宋体"/>
          <w:b/>
          <w:color w:val="000000"/>
          <w:kern w:val="0"/>
          <w:sz w:val="32"/>
          <w:szCs w:val="32"/>
          <w:highlight w:val="none"/>
        </w:rPr>
      </w:pPr>
      <w:r>
        <w:rPr>
          <w:rFonts w:hint="eastAsia" w:ascii="仿宋_GB2312" w:hAnsi="仿宋_GB2312" w:eastAsia="仿宋_GB2312" w:cs="仿宋_GB2312"/>
          <w:b/>
          <w:bCs/>
          <w:sz w:val="32"/>
          <w:szCs w:val="32"/>
        </w:rPr>
        <w:t>第十条</w:t>
      </w:r>
      <w:r>
        <w:rPr>
          <w:rFonts w:hint="eastAsia" w:ascii="仿宋_GB2312" w:hAnsi="宋体" w:eastAsia="仿宋_GB2312"/>
          <w:b/>
          <w:color w:val="000000"/>
          <w:sz w:val="32"/>
          <w:szCs w:val="32"/>
          <w:highlight w:val="none"/>
        </w:rPr>
        <w:t xml:space="preserve"> </w:t>
      </w:r>
      <w:r>
        <w:rPr>
          <w:rFonts w:hint="eastAsia" w:ascii="仿宋_GB2312" w:hAnsi="宋体" w:eastAsia="仿宋_GB2312"/>
          <w:color w:val="000000"/>
          <w:sz w:val="32"/>
          <w:szCs w:val="32"/>
          <w:highlight w:val="none"/>
        </w:rPr>
        <w:t>办理各类经费支出业务，凭合法的票据、齐全的审批手续以及相关的协议合同等有效财务资料到财务处办理报销手续。</w:t>
      </w:r>
    </w:p>
    <w:p w14:paraId="5B3129C1">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宋体" w:eastAsia="仿宋_GB2312"/>
          <w:sz w:val="32"/>
          <w:szCs w:val="32"/>
          <w:highlight w:val="none"/>
        </w:rPr>
      </w:pPr>
      <w:r>
        <w:rPr>
          <w:rFonts w:hint="eastAsia" w:ascii="仿宋_GB2312" w:hAnsi="宋体" w:eastAsia="仿宋_GB2312"/>
          <w:bCs/>
          <w:color w:val="000000"/>
          <w:sz w:val="32"/>
          <w:szCs w:val="32"/>
          <w:highlight w:val="none"/>
        </w:rPr>
        <w:t>1</w:t>
      </w:r>
      <w:r>
        <w:rPr>
          <w:rFonts w:ascii="仿宋_GB2312" w:hAnsi="宋体" w:eastAsia="仿宋_GB2312"/>
          <w:sz w:val="32"/>
          <w:szCs w:val="32"/>
          <w:highlight w:val="none"/>
        </w:rPr>
        <w:t>.</w:t>
      </w:r>
      <w:r>
        <w:rPr>
          <w:rFonts w:hint="eastAsia" w:ascii="仿宋_GB2312" w:hAnsi="宋体" w:eastAsia="仿宋_GB2312"/>
          <w:bCs/>
          <w:color w:val="000000"/>
          <w:sz w:val="32"/>
          <w:szCs w:val="32"/>
          <w:highlight w:val="none"/>
        </w:rPr>
        <w:t>涉及采购类业务报销时，按照《北京青年政治学院采购管理办法》规定执行，其中涉及固定资产、无形资产、低值易耗品与办公用品的业务还须同时执行《北京青年政治学院国有资产管理办法》《北京青年政治学院无形资产管理办法》《北京青年政治学院低值易耗品管理办法》等相关制度。</w:t>
      </w:r>
    </w:p>
    <w:p w14:paraId="56C00E0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宋体" w:eastAsia="仿宋_GB2312"/>
          <w:bCs/>
          <w:color w:val="000000"/>
          <w:sz w:val="32"/>
          <w:szCs w:val="32"/>
          <w:highlight w:val="none"/>
        </w:rPr>
      </w:pPr>
      <w:r>
        <w:rPr>
          <w:rFonts w:hint="eastAsia" w:ascii="仿宋_GB2312" w:hAnsi="宋体" w:eastAsia="仿宋_GB2312"/>
          <w:bCs/>
          <w:color w:val="000000"/>
          <w:sz w:val="32"/>
          <w:szCs w:val="32"/>
          <w:highlight w:val="none"/>
        </w:rPr>
        <w:t>2</w:t>
      </w:r>
      <w:r>
        <w:rPr>
          <w:rFonts w:ascii="仿宋_GB2312" w:hAnsi="宋体" w:eastAsia="仿宋_GB2312"/>
          <w:bCs/>
          <w:color w:val="000000"/>
          <w:sz w:val="32"/>
          <w:szCs w:val="32"/>
          <w:highlight w:val="none"/>
        </w:rPr>
        <w:t>.</w:t>
      </w:r>
      <w:r>
        <w:rPr>
          <w:rFonts w:hint="eastAsia" w:ascii="仿宋_GB2312" w:hAnsi="宋体" w:eastAsia="仿宋_GB2312"/>
          <w:bCs/>
          <w:color w:val="000000"/>
          <w:sz w:val="32"/>
          <w:szCs w:val="32"/>
          <w:highlight w:val="none"/>
        </w:rPr>
        <w:t>报销时各类单据要求如下：各类业务发票或报销单据上应注明支出用途和经费项目号，并按照审批权限签字。除快递费、出租车费、停车费之外，其他类票据还须提供发票真伪查询结果、信用信息资质证明，发票上没有明细内容的需取得税控系统打印的清单或销售系统开具的明细清单。</w:t>
      </w:r>
    </w:p>
    <w:p w14:paraId="0F5EB696">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highlight w:val="none"/>
        </w:rPr>
      </w:pPr>
      <w:r>
        <w:rPr>
          <w:rFonts w:hint="eastAsia" w:ascii="仿宋_GB2312" w:hAnsi="宋体" w:eastAsia="仿宋_GB2312"/>
          <w:bCs/>
          <w:color w:val="000000"/>
          <w:sz w:val="32"/>
          <w:szCs w:val="32"/>
          <w:highlight w:val="none"/>
        </w:rPr>
        <w:t>具体业务报销单据要求：</w:t>
      </w:r>
    </w:p>
    <w:p w14:paraId="7233DB1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highlight w:val="none"/>
        </w:rPr>
      </w:pPr>
      <w:r>
        <w:rPr>
          <w:rFonts w:hint="eastAsia" w:ascii="仿宋_GB2312" w:hAnsi="宋体" w:eastAsia="仿宋_GB2312"/>
          <w:bCs/>
          <w:color w:val="000000"/>
          <w:sz w:val="32"/>
          <w:szCs w:val="32"/>
          <w:highlight w:val="none"/>
        </w:rPr>
        <w:t>（1）符合政府采购类业务（包括货物、工程、服务）报销时，超过2万元需提供发票、政府采购合同、政府采购结算单、工程类采购同时提供工程支出清单、电子卖场采购截图。合同中明确规定需要验收后付款的，提供验收报告。</w:t>
      </w:r>
      <w:r>
        <w:rPr>
          <w:rFonts w:hint="eastAsia" w:ascii="仿宋_GB2312" w:hAnsi="宋体" w:eastAsia="仿宋_GB2312"/>
          <w:bCs/>
          <w:sz w:val="32"/>
          <w:szCs w:val="32"/>
          <w:highlight w:val="none"/>
        </w:rPr>
        <w:t>维修、安防、修缮、基建类等经费支出</w:t>
      </w:r>
      <w:r>
        <w:rPr>
          <w:rFonts w:hint="eastAsia" w:ascii="仿宋_GB2312" w:hAnsi="宋体" w:eastAsia="仿宋_GB2312"/>
          <w:bCs/>
          <w:color w:val="000000"/>
          <w:sz w:val="32"/>
          <w:szCs w:val="32"/>
          <w:highlight w:val="none"/>
        </w:rPr>
        <w:t>总价在</w:t>
      </w:r>
      <w:r>
        <w:rPr>
          <w:rFonts w:ascii="仿宋_GB2312" w:hAnsi="宋体" w:eastAsia="仿宋_GB2312"/>
          <w:bCs/>
          <w:sz w:val="32"/>
          <w:szCs w:val="32"/>
          <w:highlight w:val="none"/>
        </w:rPr>
        <w:t>10</w:t>
      </w:r>
      <w:r>
        <w:rPr>
          <w:rFonts w:hint="eastAsia" w:ascii="仿宋_GB2312" w:hAnsi="宋体" w:eastAsia="仿宋_GB2312"/>
          <w:bCs/>
          <w:sz w:val="32"/>
          <w:szCs w:val="32"/>
          <w:highlight w:val="none"/>
        </w:rPr>
        <w:t>万元以上的</w:t>
      </w:r>
      <w:r>
        <w:rPr>
          <w:rFonts w:hint="eastAsia" w:ascii="仿宋_GB2312" w:hAnsi="宋体" w:eastAsia="仿宋_GB2312"/>
          <w:bCs/>
          <w:color w:val="000000"/>
          <w:sz w:val="32"/>
          <w:szCs w:val="32"/>
          <w:highlight w:val="none"/>
        </w:rPr>
        <w:t>还需提供工程结算审计报告。</w:t>
      </w:r>
    </w:p>
    <w:p w14:paraId="27EC1FA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highlight w:val="none"/>
        </w:rPr>
      </w:pPr>
      <w:r>
        <w:rPr>
          <w:rFonts w:hint="eastAsia" w:ascii="仿宋_GB2312" w:hAnsi="宋体" w:eastAsia="仿宋_GB2312"/>
          <w:bCs/>
          <w:color w:val="000000"/>
          <w:sz w:val="32"/>
          <w:szCs w:val="32"/>
          <w:highlight w:val="none"/>
        </w:rPr>
        <w:t>（2）涉及组织会议报销时，同时持</w:t>
      </w:r>
      <w:r>
        <w:rPr>
          <w:rFonts w:ascii="仿宋_GB2312" w:hAnsi="宋体" w:eastAsia="仿宋_GB2312"/>
          <w:bCs/>
          <w:color w:val="000000"/>
          <w:sz w:val="32"/>
          <w:szCs w:val="32"/>
          <w:highlight w:val="none"/>
        </w:rPr>
        <w:fldChar w:fldCharType="begin"/>
      </w:r>
      <w:r>
        <w:rPr>
          <w:rFonts w:ascii="仿宋_GB2312" w:hAnsi="宋体" w:eastAsia="仿宋_GB2312"/>
          <w:bCs/>
          <w:color w:val="000000"/>
          <w:sz w:val="32"/>
          <w:szCs w:val="32"/>
          <w:highlight w:val="none"/>
        </w:rPr>
        <w:instrText xml:space="preserve"> HYPERLINK "https://my.bjypc.edu.cn/publish/info/download/file_7283.jspx" </w:instrText>
      </w:r>
      <w:r>
        <w:rPr>
          <w:rFonts w:ascii="仿宋_GB2312" w:hAnsi="宋体" w:eastAsia="仿宋_GB2312"/>
          <w:bCs/>
          <w:color w:val="000000"/>
          <w:sz w:val="32"/>
          <w:szCs w:val="32"/>
          <w:highlight w:val="none"/>
        </w:rPr>
        <w:fldChar w:fldCharType="separate"/>
      </w:r>
      <w:r>
        <w:rPr>
          <w:rFonts w:ascii="仿宋_GB2312" w:hAnsi="宋体" w:eastAsia="仿宋_GB2312"/>
          <w:bCs/>
          <w:color w:val="000000"/>
          <w:sz w:val="32"/>
          <w:szCs w:val="32"/>
          <w:highlight w:val="none"/>
        </w:rPr>
        <w:t>北京青年政治学院</w:t>
      </w:r>
      <w:r>
        <w:rPr>
          <w:rFonts w:hint="eastAsia" w:ascii="仿宋_GB2312" w:hAnsi="宋体" w:eastAsia="仿宋_GB2312"/>
          <w:bCs/>
          <w:color w:val="000000"/>
          <w:sz w:val="32"/>
          <w:szCs w:val="32"/>
          <w:highlight w:val="none"/>
        </w:rPr>
        <w:t>年度会议计划审批文件、</w:t>
      </w:r>
      <w:r>
        <w:rPr>
          <w:rFonts w:ascii="仿宋_GB2312" w:hAnsi="宋体" w:eastAsia="仿宋_GB2312"/>
          <w:bCs/>
          <w:color w:val="000000"/>
          <w:sz w:val="32"/>
          <w:szCs w:val="32"/>
          <w:highlight w:val="none"/>
        </w:rPr>
        <w:t>会议</w:t>
      </w:r>
      <w:r>
        <w:rPr>
          <w:rFonts w:ascii="仿宋_GB2312" w:hAnsi="宋体" w:eastAsia="仿宋_GB2312"/>
          <w:bCs/>
          <w:color w:val="000000"/>
          <w:sz w:val="32"/>
          <w:szCs w:val="32"/>
          <w:highlight w:val="none"/>
        </w:rPr>
        <w:fldChar w:fldCharType="end"/>
      </w:r>
      <w:r>
        <w:rPr>
          <w:rFonts w:hint="eastAsia" w:ascii="仿宋_GB2312" w:hAnsi="宋体" w:eastAsia="仿宋_GB2312"/>
          <w:bCs/>
          <w:color w:val="000000"/>
          <w:sz w:val="32"/>
          <w:szCs w:val="32"/>
          <w:highlight w:val="none"/>
        </w:rPr>
        <w:t>计划执行表、会议结算单（含原始明细单）、会议纪要、会议审批单、会议通知和签到表。会议费一次性报销完毕，不得分项目、分批次报销。</w:t>
      </w:r>
    </w:p>
    <w:p w14:paraId="533F8E6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highlight w:val="none"/>
        </w:rPr>
      </w:pPr>
      <w:r>
        <w:rPr>
          <w:rFonts w:hint="eastAsia" w:ascii="仿宋_GB2312" w:hAnsi="宋体" w:eastAsia="仿宋_GB2312"/>
          <w:bCs/>
          <w:color w:val="000000"/>
          <w:sz w:val="32"/>
          <w:szCs w:val="32"/>
          <w:highlight w:val="none"/>
        </w:rPr>
        <w:t>（3）涉及组织培训报销时，同时持</w:t>
      </w:r>
      <w:r>
        <w:rPr>
          <w:rFonts w:ascii="仿宋_GB2312" w:hAnsi="宋体" w:eastAsia="仿宋_GB2312"/>
          <w:bCs/>
          <w:color w:val="000000"/>
          <w:sz w:val="32"/>
          <w:szCs w:val="32"/>
          <w:highlight w:val="none"/>
        </w:rPr>
        <w:fldChar w:fldCharType="begin"/>
      </w:r>
      <w:r>
        <w:rPr>
          <w:rFonts w:ascii="仿宋_GB2312" w:hAnsi="宋体" w:eastAsia="仿宋_GB2312"/>
          <w:bCs/>
          <w:color w:val="000000"/>
          <w:sz w:val="32"/>
          <w:szCs w:val="32"/>
          <w:highlight w:val="none"/>
        </w:rPr>
        <w:instrText xml:space="preserve"> HYPERLINK "https://my.bjypc.edu.cn/publish/info/download/file_7283.jspx" </w:instrText>
      </w:r>
      <w:r>
        <w:rPr>
          <w:rFonts w:ascii="仿宋_GB2312" w:hAnsi="宋体" w:eastAsia="仿宋_GB2312"/>
          <w:bCs/>
          <w:color w:val="000000"/>
          <w:sz w:val="32"/>
          <w:szCs w:val="32"/>
          <w:highlight w:val="none"/>
        </w:rPr>
        <w:fldChar w:fldCharType="separate"/>
      </w:r>
      <w:r>
        <w:rPr>
          <w:rFonts w:ascii="仿宋_GB2312" w:hAnsi="宋体" w:eastAsia="仿宋_GB2312"/>
          <w:bCs/>
          <w:color w:val="000000"/>
          <w:sz w:val="32"/>
          <w:szCs w:val="32"/>
          <w:highlight w:val="none"/>
        </w:rPr>
        <w:t>北京青年政治学院</w:t>
      </w:r>
      <w:r>
        <w:rPr>
          <w:rFonts w:hint="eastAsia" w:ascii="仿宋_GB2312" w:hAnsi="宋体" w:eastAsia="仿宋_GB2312"/>
          <w:bCs/>
          <w:color w:val="000000"/>
          <w:sz w:val="32"/>
          <w:szCs w:val="32"/>
          <w:highlight w:val="none"/>
        </w:rPr>
        <w:t>年度培训计划审批文件、</w:t>
      </w:r>
      <w:r>
        <w:rPr>
          <w:rFonts w:ascii="仿宋_GB2312" w:hAnsi="宋体" w:eastAsia="仿宋_GB2312"/>
          <w:bCs/>
          <w:color w:val="000000"/>
          <w:sz w:val="32"/>
          <w:szCs w:val="32"/>
          <w:highlight w:val="none"/>
        </w:rPr>
        <w:t>培训</w:t>
      </w:r>
      <w:r>
        <w:rPr>
          <w:rFonts w:ascii="仿宋_GB2312" w:hAnsi="宋体" w:eastAsia="仿宋_GB2312"/>
          <w:bCs/>
          <w:color w:val="000000"/>
          <w:sz w:val="32"/>
          <w:szCs w:val="32"/>
          <w:highlight w:val="none"/>
        </w:rPr>
        <w:fldChar w:fldCharType="end"/>
      </w:r>
      <w:r>
        <w:rPr>
          <w:rFonts w:hint="eastAsia" w:ascii="仿宋_GB2312" w:hAnsi="宋体" w:eastAsia="仿宋_GB2312"/>
          <w:bCs/>
          <w:color w:val="000000"/>
          <w:sz w:val="32"/>
          <w:szCs w:val="32"/>
          <w:highlight w:val="none"/>
        </w:rPr>
        <w:t>计划执行表、培训结算单（含原始明细单）、培训纪要、培训审批单、培训通知和签到表。培训费一次性报销完毕，不得分项目、分批次报销。</w:t>
      </w:r>
    </w:p>
    <w:p w14:paraId="6D9D3DA6">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highlight w:val="none"/>
        </w:rPr>
      </w:pPr>
      <w:r>
        <w:rPr>
          <w:rFonts w:hint="eastAsia" w:ascii="仿宋_GB2312" w:hAnsi="宋体" w:eastAsia="仿宋_GB2312"/>
          <w:bCs/>
          <w:color w:val="000000"/>
          <w:sz w:val="32"/>
          <w:szCs w:val="32"/>
          <w:highlight w:val="none"/>
        </w:rPr>
        <w:t>（</w:t>
      </w:r>
      <w:r>
        <w:rPr>
          <w:rFonts w:ascii="仿宋_GB2312" w:hAnsi="宋体" w:eastAsia="仿宋_GB2312"/>
          <w:bCs/>
          <w:color w:val="000000"/>
          <w:sz w:val="32"/>
          <w:szCs w:val="32"/>
          <w:highlight w:val="none"/>
        </w:rPr>
        <w:t>4</w:t>
      </w:r>
      <w:r>
        <w:rPr>
          <w:rFonts w:hint="eastAsia" w:ascii="仿宋_GB2312" w:hAnsi="宋体" w:eastAsia="仿宋_GB2312"/>
          <w:bCs/>
          <w:color w:val="000000"/>
          <w:sz w:val="32"/>
          <w:szCs w:val="32"/>
          <w:highlight w:val="none"/>
        </w:rPr>
        <w:t>）政府采购以外的采购业务报销时，超过2万元需提供发票</w:t>
      </w:r>
      <w:r>
        <w:rPr>
          <w:rFonts w:hint="eastAsia" w:ascii="仿宋_GB2312" w:eastAsia="仿宋_GB2312"/>
          <w:color w:val="000000"/>
          <w:sz w:val="32"/>
          <w:highlight w:val="none"/>
        </w:rPr>
        <w:t>、</w:t>
      </w:r>
      <w:r>
        <w:rPr>
          <w:rFonts w:hint="eastAsia" w:ascii="仿宋_GB2312" w:hAnsi="宋体" w:eastAsia="仿宋_GB2312"/>
          <w:bCs/>
          <w:color w:val="000000"/>
          <w:sz w:val="32"/>
          <w:szCs w:val="32"/>
          <w:highlight w:val="none"/>
        </w:rPr>
        <w:t>合同</w:t>
      </w:r>
      <w:r>
        <w:rPr>
          <w:rFonts w:hint="eastAsia" w:ascii="仿宋_GB2312" w:eastAsia="仿宋_GB2312"/>
          <w:color w:val="000000"/>
          <w:sz w:val="32"/>
          <w:highlight w:val="none"/>
        </w:rPr>
        <w:t>，涉及招标的还须提供中标通知书。</w:t>
      </w:r>
      <w:r>
        <w:rPr>
          <w:rFonts w:hint="eastAsia" w:ascii="仿宋_GB2312" w:hAnsi="宋体" w:eastAsia="仿宋_GB2312"/>
          <w:bCs/>
          <w:color w:val="000000"/>
          <w:sz w:val="32"/>
          <w:szCs w:val="32"/>
          <w:highlight w:val="none"/>
        </w:rPr>
        <w:t>合同中明确规定需要验收后付款的，提供验</w:t>
      </w:r>
      <w:r>
        <w:rPr>
          <w:rFonts w:hint="eastAsia" w:ascii="仿宋_GB2312" w:hAnsi="宋体" w:eastAsia="仿宋_GB2312"/>
          <w:bCs/>
          <w:color w:val="000000"/>
          <w:sz w:val="32"/>
          <w:szCs w:val="32"/>
        </w:rPr>
        <w:t>收报告</w:t>
      </w:r>
      <w:r>
        <w:rPr>
          <w:rFonts w:hint="eastAsia" w:ascii="仿宋_GB2312" w:hAnsi="宋体" w:eastAsia="仿宋_GB2312"/>
          <w:bCs/>
          <w:color w:val="000000"/>
          <w:sz w:val="32"/>
          <w:szCs w:val="32"/>
          <w:highlight w:val="none"/>
        </w:rPr>
        <w:t>。</w:t>
      </w:r>
      <w:r>
        <w:rPr>
          <w:rFonts w:hint="eastAsia" w:ascii="仿宋_GB2312" w:hAnsi="宋体" w:eastAsia="仿宋_GB2312"/>
          <w:bCs/>
          <w:sz w:val="32"/>
          <w:szCs w:val="32"/>
          <w:highlight w:val="none"/>
        </w:rPr>
        <w:t>维修、安防、修缮、基建类等经费支出</w:t>
      </w:r>
      <w:r>
        <w:rPr>
          <w:rFonts w:hint="eastAsia" w:ascii="仿宋_GB2312" w:hAnsi="宋体" w:eastAsia="仿宋_GB2312"/>
          <w:bCs/>
          <w:color w:val="000000"/>
          <w:sz w:val="32"/>
          <w:szCs w:val="32"/>
          <w:highlight w:val="none"/>
        </w:rPr>
        <w:t>总价在</w:t>
      </w:r>
      <w:r>
        <w:rPr>
          <w:rFonts w:ascii="仿宋_GB2312" w:hAnsi="宋体" w:eastAsia="仿宋_GB2312"/>
          <w:bCs/>
          <w:sz w:val="32"/>
          <w:szCs w:val="32"/>
          <w:highlight w:val="none"/>
        </w:rPr>
        <w:t>10</w:t>
      </w:r>
      <w:r>
        <w:rPr>
          <w:rFonts w:hint="eastAsia" w:ascii="仿宋_GB2312" w:hAnsi="宋体" w:eastAsia="仿宋_GB2312"/>
          <w:bCs/>
          <w:sz w:val="32"/>
          <w:szCs w:val="32"/>
          <w:highlight w:val="none"/>
        </w:rPr>
        <w:t>万元以上的</w:t>
      </w:r>
      <w:r>
        <w:rPr>
          <w:rFonts w:hint="eastAsia" w:ascii="仿宋_GB2312" w:hAnsi="宋体" w:eastAsia="仿宋_GB2312"/>
          <w:bCs/>
          <w:color w:val="000000"/>
          <w:sz w:val="32"/>
          <w:szCs w:val="32"/>
          <w:highlight w:val="none"/>
        </w:rPr>
        <w:t>还需提供工程结算审计报告。</w:t>
      </w:r>
    </w:p>
    <w:p w14:paraId="79168BD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FF0000"/>
          <w:sz w:val="32"/>
          <w:szCs w:val="32"/>
        </w:rPr>
      </w:pPr>
      <w:r>
        <w:rPr>
          <w:rFonts w:hint="eastAsia" w:ascii="仿宋_GB2312" w:hAnsi="宋体" w:eastAsia="仿宋_GB2312"/>
          <w:bCs/>
          <w:color w:val="000000"/>
          <w:sz w:val="32"/>
          <w:szCs w:val="32"/>
          <w:highlight w:val="none"/>
        </w:rPr>
        <w:t>（</w:t>
      </w:r>
      <w:r>
        <w:rPr>
          <w:rFonts w:ascii="仿宋_GB2312" w:hAnsi="宋体" w:eastAsia="仿宋_GB2312"/>
          <w:bCs/>
          <w:color w:val="000000"/>
          <w:sz w:val="32"/>
          <w:szCs w:val="32"/>
          <w:highlight w:val="none"/>
        </w:rPr>
        <w:t>5</w:t>
      </w:r>
      <w:r>
        <w:rPr>
          <w:rFonts w:hint="eastAsia" w:ascii="仿宋_GB2312" w:hAnsi="宋体" w:eastAsia="仿宋_GB2312"/>
          <w:bCs/>
          <w:color w:val="000000"/>
          <w:sz w:val="32"/>
          <w:szCs w:val="32"/>
          <w:highlight w:val="none"/>
        </w:rPr>
        <w:t>）</w:t>
      </w:r>
      <w:r>
        <w:rPr>
          <w:rFonts w:hint="eastAsia" w:ascii="仿宋_GB2312" w:hAnsi="宋体" w:eastAsia="仿宋_GB2312" w:cs="宋体"/>
          <w:color w:val="000000"/>
          <w:kern w:val="0"/>
          <w:sz w:val="32"/>
          <w:szCs w:val="32"/>
          <w:highlight w:val="none"/>
        </w:rPr>
        <w:t>论文版面费报销时需提供用稿通知，如果杂志社委托第三方代收版面费，需提供杂志社出具</w:t>
      </w:r>
      <w:r>
        <w:rPr>
          <w:rFonts w:hint="eastAsia" w:ascii="仿宋_GB2312" w:hAnsi="宋体" w:eastAsia="仿宋_GB2312" w:cs="宋体"/>
          <w:color w:val="000000"/>
          <w:kern w:val="0"/>
          <w:sz w:val="32"/>
          <w:szCs w:val="32"/>
        </w:rPr>
        <w:t>盖章的委托说明。</w:t>
      </w:r>
    </w:p>
    <w:p w14:paraId="34C995C4">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宋体" w:eastAsia="仿宋_GB2312"/>
          <w:bCs/>
          <w:color w:val="000000"/>
          <w:sz w:val="32"/>
          <w:szCs w:val="32"/>
        </w:rPr>
      </w:pPr>
      <w:r>
        <w:rPr>
          <w:rFonts w:hint="eastAsia" w:ascii="仿宋_GB2312" w:hAnsi="宋体" w:eastAsia="仿宋_GB2312"/>
          <w:bCs/>
          <w:color w:val="000000"/>
          <w:sz w:val="32"/>
          <w:szCs w:val="32"/>
        </w:rPr>
        <w:t>（6）组织集体活动租用外单位客车需签订合同，结算时提供合同、行程单。</w:t>
      </w:r>
    </w:p>
    <w:p w14:paraId="2D053C1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宋体" w:eastAsia="仿宋_GB2312"/>
          <w:bCs/>
          <w:color w:val="000000"/>
          <w:sz w:val="32"/>
          <w:szCs w:val="32"/>
        </w:rPr>
      </w:pPr>
      <w:r>
        <w:rPr>
          <w:rFonts w:hint="eastAsia" w:ascii="仿宋_GB2312" w:hAnsi="宋体" w:eastAsia="仿宋_GB2312"/>
          <w:bCs/>
          <w:color w:val="000000"/>
          <w:sz w:val="32"/>
          <w:szCs w:val="32"/>
        </w:rPr>
        <w:t>（7）市内交通费的报销，本着“厉行节约”的原则，尽量采用公共交通出行方式，确需乘坐出租车的在票据背面注明往返地点和事由，网约车打印电子发票和行程单并注明事由。</w:t>
      </w:r>
    </w:p>
    <w:p w14:paraId="2B74377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宋体" w:eastAsia="仿宋_GB2312"/>
          <w:bCs/>
          <w:color w:val="000000"/>
          <w:sz w:val="32"/>
          <w:szCs w:val="32"/>
        </w:rPr>
      </w:pPr>
      <w:r>
        <w:rPr>
          <w:rFonts w:hint="eastAsia" w:ascii="仿宋_GB2312" w:hAnsi="宋体" w:eastAsia="仿宋_GB2312"/>
          <w:bCs/>
          <w:color w:val="000000"/>
          <w:sz w:val="32"/>
          <w:szCs w:val="32"/>
        </w:rPr>
        <w:t>（</w:t>
      </w:r>
      <w:r>
        <w:rPr>
          <w:rFonts w:ascii="仿宋_GB2312" w:hAnsi="宋体" w:eastAsia="仿宋_GB2312"/>
          <w:bCs/>
          <w:color w:val="000000"/>
          <w:sz w:val="32"/>
          <w:szCs w:val="32"/>
        </w:rPr>
        <w:t>8</w:t>
      </w:r>
      <w:r>
        <w:rPr>
          <w:rFonts w:hint="eastAsia" w:ascii="仿宋_GB2312" w:hAnsi="宋体" w:eastAsia="仿宋_GB2312"/>
          <w:bCs/>
          <w:color w:val="000000"/>
          <w:sz w:val="32"/>
          <w:szCs w:val="32"/>
        </w:rPr>
        <w:t>）公务接待费报销按照《北京青年政治学院国内公务接待管理办法》中规定执行，报销时需要提供《公务接待清单》、对方单位出具的接待函和符合报销规定的单据。</w:t>
      </w:r>
    </w:p>
    <w:p w14:paraId="02127740">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sz w:val="32"/>
          <w:szCs w:val="32"/>
        </w:rPr>
      </w:pPr>
      <w:r>
        <w:rPr>
          <w:rFonts w:hint="eastAsia" w:ascii="仿宋_GB2312" w:hAnsi="宋体" w:eastAsia="仿宋_GB2312"/>
          <w:bCs/>
          <w:color w:val="000000"/>
          <w:sz w:val="32"/>
          <w:szCs w:val="32"/>
        </w:rPr>
        <w:t>（</w:t>
      </w:r>
      <w:r>
        <w:rPr>
          <w:rFonts w:ascii="仿宋_GB2312" w:hAnsi="宋体" w:eastAsia="仿宋_GB2312"/>
          <w:bCs/>
          <w:color w:val="000000"/>
          <w:sz w:val="32"/>
          <w:szCs w:val="32"/>
        </w:rPr>
        <w:t>9</w:t>
      </w:r>
      <w:r>
        <w:rPr>
          <w:rFonts w:hint="eastAsia" w:ascii="仿宋_GB2312" w:hAnsi="宋体" w:eastAsia="仿宋_GB2312"/>
          <w:bCs/>
          <w:color w:val="000000"/>
          <w:sz w:val="32"/>
          <w:szCs w:val="32"/>
        </w:rPr>
        <w:t>）发放学生奖励、退休人员奖励等需提供活动方案，列明活动内容及奖励方法、金额等，</w:t>
      </w:r>
      <w:r>
        <w:rPr>
          <w:rFonts w:hint="eastAsia" w:ascii="仿宋_GB2312" w:hAnsi="宋体" w:eastAsia="仿宋_GB2312"/>
          <w:bCs/>
          <w:sz w:val="32"/>
          <w:szCs w:val="32"/>
        </w:rPr>
        <w:t>并加盖部门公章，报销时提供领奖名单。</w:t>
      </w:r>
    </w:p>
    <w:p w14:paraId="4AAA821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宋体" w:eastAsia="仿宋_GB2312"/>
          <w:bCs/>
          <w:color w:val="000000"/>
          <w:sz w:val="32"/>
          <w:szCs w:val="32"/>
        </w:rPr>
      </w:pPr>
      <w:r>
        <w:rPr>
          <w:rFonts w:ascii="仿宋_GB2312" w:hAnsi="宋体" w:eastAsia="仿宋_GB2312"/>
          <w:bCs/>
          <w:color w:val="000000"/>
          <w:sz w:val="32"/>
          <w:szCs w:val="32"/>
        </w:rPr>
        <w:t>3.</w:t>
      </w:r>
      <w:r>
        <w:rPr>
          <w:rFonts w:hint="eastAsia" w:ascii="仿宋_GB2312" w:hAnsi="宋体" w:eastAsia="仿宋_GB2312"/>
          <w:bCs/>
          <w:color w:val="000000"/>
          <w:sz w:val="32"/>
          <w:szCs w:val="32"/>
        </w:rPr>
        <w:t>教职工在市内开展其他公务活动发生的误餐费，支出标准按照《北京市财政局关于调整市级行政事业单位市内公务活动误餐费等支出标准的通知》规定执行，原则上在学校食堂用餐，未在食堂用餐，报销时提供用餐事由与人员等情况说明并加盖部门公章，说明由经费负责人、分管院领导审签。</w:t>
      </w:r>
    </w:p>
    <w:p w14:paraId="60E917C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hAnsi="宋体" w:eastAsia="仿宋_GB2312"/>
          <w:bCs/>
          <w:color w:val="000000"/>
          <w:sz w:val="32"/>
          <w:szCs w:val="32"/>
          <w:highlight w:val="none"/>
        </w:rPr>
      </w:pPr>
      <w:r>
        <w:rPr>
          <w:rFonts w:ascii="仿宋_GB2312" w:hAnsi="宋体" w:eastAsia="仿宋_GB2312"/>
          <w:color w:val="000000"/>
          <w:sz w:val="32"/>
          <w:szCs w:val="32"/>
          <w:highlight w:val="none"/>
        </w:rPr>
        <w:t>4</w:t>
      </w:r>
      <w:r>
        <w:rPr>
          <w:rFonts w:hint="eastAsia" w:ascii="仿宋_GB2312" w:hAnsi="宋体" w:eastAsia="仿宋_GB2312"/>
          <w:color w:val="000000"/>
          <w:sz w:val="32"/>
          <w:szCs w:val="32"/>
          <w:highlight w:val="none"/>
        </w:rPr>
        <w:t>.教职工在京内赴远郊区参加会议、培训时发生的会议费、培训费，报销时须提供会议通知、培训通知，通知中明确食宿自理的，</w:t>
      </w:r>
      <w:r>
        <w:rPr>
          <w:rFonts w:hint="eastAsia" w:ascii="仿宋_GB2312" w:hAnsi="宋体" w:eastAsia="仿宋_GB2312"/>
          <w:bCs/>
          <w:color w:val="000000"/>
          <w:sz w:val="32"/>
          <w:szCs w:val="32"/>
          <w:highlight w:val="none"/>
        </w:rPr>
        <w:t>所发生的住宿费、伙食费、交通费按照《北京青年政治学院差旅费管理办法》规定执行；到远郊区开展调研等其他公务活动且实际发生住宿费、伙食费、交通等费用的，按照《北京青年政治学院差旅费管理办法》规定标准报销，调研活动报销时须提供调研报告。</w:t>
      </w:r>
    </w:p>
    <w:p w14:paraId="5E49356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ascii="仿宋_GB2312" w:hAnsi="宋体" w:eastAsia="仿宋_GB2312"/>
          <w:sz w:val="32"/>
          <w:szCs w:val="32"/>
        </w:rPr>
        <w:t>5</w:t>
      </w:r>
      <w:r>
        <w:rPr>
          <w:rFonts w:hint="eastAsia" w:ascii="仿宋_GB2312" w:hAnsi="宋体" w:eastAsia="仿宋_GB2312"/>
          <w:sz w:val="32"/>
          <w:szCs w:val="32"/>
        </w:rPr>
        <w:t>.</w:t>
      </w:r>
      <w:r>
        <w:rPr>
          <w:rFonts w:hint="eastAsia" w:ascii="仿宋_GB2312" w:hAnsi="宋体" w:eastAsia="仿宋_GB2312"/>
          <w:color w:val="000000"/>
          <w:sz w:val="32"/>
          <w:szCs w:val="32"/>
        </w:rPr>
        <w:t>教职工在京外</w:t>
      </w:r>
      <w:r>
        <w:rPr>
          <w:rFonts w:hint="eastAsia" w:ascii="仿宋_GB2312" w:hAnsi="宋体" w:eastAsia="仿宋_GB2312"/>
          <w:bCs/>
          <w:color w:val="000000"/>
          <w:sz w:val="32"/>
          <w:szCs w:val="32"/>
        </w:rPr>
        <w:t>参加会议、培训、调研等发生的费用，须附离京审批单，差旅费报销单、会议通知、培训通知、调研报告等材料。探亲差旅费报销，由人事处负责人审签并附《探亲审批单》。</w:t>
      </w:r>
    </w:p>
    <w:p w14:paraId="7998ADE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ascii="仿宋_GB2312" w:hAnsi="宋体" w:eastAsia="仿宋_GB2312"/>
          <w:sz w:val="32"/>
          <w:szCs w:val="32"/>
        </w:rPr>
        <w:t>6</w:t>
      </w:r>
      <w:r>
        <w:rPr>
          <w:rFonts w:hint="eastAsia" w:ascii="仿宋_GB2312" w:hAnsi="宋体" w:eastAsia="仿宋_GB2312"/>
          <w:sz w:val="32"/>
          <w:szCs w:val="32"/>
        </w:rPr>
        <w:t>.</w:t>
      </w:r>
      <w:r>
        <w:rPr>
          <w:rFonts w:hint="eastAsia" w:ascii="仿宋_GB2312" w:hAnsi="宋体" w:eastAsia="仿宋_GB2312"/>
          <w:bCs/>
          <w:color w:val="000000"/>
          <w:sz w:val="32"/>
          <w:szCs w:val="32"/>
        </w:rPr>
        <w:t>在校学生在京内参加会议、培训发生的会议费、培训费、住宿费、伙食费、交通费等需按照《北京青年政治学院会议管理办法》、《北京青年政治学院关于加强培训经费管理的办法》中规定执行；在京内参加比赛等活动同时产生住宿费、伙食费、交通费等支出的按照《北京青年政治学院差旅费管理办法》规定执行；原则上在学校食堂用餐，未在食堂用餐，报销时提供用餐事由与人员等情况说明并加盖部门公章，说明由经费负责人、分管院领导审签。</w:t>
      </w:r>
    </w:p>
    <w:p w14:paraId="57E25FC3">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ascii="仿宋_GB2312" w:hAnsi="宋体" w:eastAsia="仿宋_GB2312"/>
          <w:sz w:val="32"/>
          <w:szCs w:val="32"/>
        </w:rPr>
        <w:t>7</w:t>
      </w:r>
      <w:r>
        <w:rPr>
          <w:rFonts w:hint="eastAsia" w:ascii="仿宋_GB2312" w:hAnsi="宋体" w:eastAsia="仿宋_GB2312"/>
          <w:sz w:val="32"/>
          <w:szCs w:val="32"/>
        </w:rPr>
        <w:t>.</w:t>
      </w:r>
      <w:r>
        <w:rPr>
          <w:rFonts w:hint="eastAsia" w:ascii="仿宋_GB2312" w:hAnsi="宋体" w:eastAsia="仿宋_GB2312"/>
          <w:bCs/>
          <w:color w:val="000000"/>
          <w:sz w:val="32"/>
          <w:szCs w:val="32"/>
        </w:rPr>
        <w:t>在校学生在京外参加会议、培训发生的会议费、培训费、住宿费、伙食费、交通费等需按照《北京青年政治学院会议管理办法》《北京青年政治学院关于加强培训经费管理的办法》中规定执行；在京外参加比赛、实习实践或其他临时性活动等，发生住宿费、伙食费、交通费等需按照《北京青年政治学院差旅费管理办法》中规定执行。</w:t>
      </w:r>
    </w:p>
    <w:p w14:paraId="6D811A4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ascii="仿宋_GB2312" w:hAnsi="宋体" w:eastAsia="仿宋_GB2312"/>
          <w:sz w:val="32"/>
          <w:szCs w:val="32"/>
        </w:rPr>
        <w:t>8</w:t>
      </w:r>
      <w:r>
        <w:rPr>
          <w:rFonts w:hint="eastAsia" w:ascii="仿宋_GB2312" w:hAnsi="宋体" w:eastAsia="仿宋_GB2312"/>
          <w:sz w:val="32"/>
          <w:szCs w:val="32"/>
        </w:rPr>
        <w:t>.</w:t>
      </w:r>
      <w:r>
        <w:rPr>
          <w:rFonts w:hint="eastAsia" w:ascii="仿宋_GB2312" w:hAnsi="宋体" w:eastAsia="仿宋_GB2312"/>
          <w:bCs/>
          <w:color w:val="000000"/>
          <w:sz w:val="32"/>
          <w:szCs w:val="32"/>
        </w:rPr>
        <w:t>劳务费、专家费报销时需提前在财务管理薪酬系统中进行申报，如实填报发放人员职称、发放标准、工作时长、工作内容手机号等（各部门留存相关证明材料），并打印酬金明细表，按照审批权限签字后到财务处报销，打入领款人银行卡中，并按国家有关政策，依法交纳个人所得税。</w:t>
      </w:r>
    </w:p>
    <w:p w14:paraId="59775CB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劳务费、专家费执行以下标准：</w:t>
      </w:r>
    </w:p>
    <w:p w14:paraId="0020E83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（1）劳务费执行标准：在校学生劳务费每月累计不超过0.1万元。模特、作曲、摄影等特殊行业提供劳务的，劳务费按合同（或行业标准）执行。</w:t>
      </w:r>
    </w:p>
    <w:p w14:paraId="59F4A8E1">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bCs/>
          <w:color w:val="000000"/>
          <w:sz w:val="32"/>
          <w:szCs w:val="32"/>
        </w:rPr>
      </w:pPr>
      <w:r>
        <w:rPr>
          <w:rFonts w:hint="eastAsia" w:ascii="仿宋_GB2312" w:hAnsi="宋体" w:eastAsia="仿宋_GB2312"/>
          <w:bCs/>
          <w:color w:val="000000"/>
          <w:sz w:val="32"/>
          <w:szCs w:val="32"/>
        </w:rPr>
        <w:t>（2）专家费执行标准按照《北京市市级部门编报指南》中规定执行。</w:t>
      </w:r>
    </w:p>
    <w:p w14:paraId="4821776C">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eastAsia="仿宋_GB2312"/>
          <w:color w:val="000000"/>
          <w:sz w:val="32"/>
        </w:rPr>
      </w:pPr>
      <w:r>
        <w:rPr>
          <w:rFonts w:hint="eastAsia" w:ascii="仿宋_GB2312" w:hAnsi="仿宋_GB2312" w:eastAsia="仿宋_GB2312" w:cs="仿宋_GB2312"/>
          <w:b/>
          <w:bCs/>
          <w:sz w:val="32"/>
          <w:szCs w:val="32"/>
        </w:rPr>
        <w:t>第十一条</w:t>
      </w:r>
      <w:r>
        <w:rPr>
          <w:rFonts w:hint="eastAsia" w:ascii="黑体" w:eastAsia="黑体"/>
          <w:sz w:val="32"/>
          <w:szCs w:val="32"/>
          <w:highlight w:val="none"/>
        </w:rPr>
        <w:t xml:space="preserve"> </w:t>
      </w:r>
      <w:r>
        <w:rPr>
          <w:rFonts w:hint="eastAsia" w:ascii="仿宋_GB2312" w:eastAsia="仿宋_GB2312"/>
          <w:color w:val="000000"/>
          <w:sz w:val="32"/>
          <w:highlight w:val="none"/>
        </w:rPr>
        <w:t>涉及对外开展的社会服务类项目，各项目单位按照合同要求执行预算，所有支出不能超过合同收入。</w:t>
      </w:r>
    </w:p>
    <w:p w14:paraId="69C00626">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宋体" w:eastAsia="仿宋_GB2312"/>
          <w:color w:val="000000"/>
          <w:sz w:val="32"/>
          <w:szCs w:val="32"/>
        </w:rPr>
      </w:pPr>
      <w:r>
        <w:rPr>
          <w:rFonts w:hint="eastAsia" w:ascii="仿宋_GB2312" w:hAnsi="仿宋_GB2312" w:eastAsia="仿宋_GB2312" w:cs="仿宋_GB2312"/>
          <w:b/>
          <w:bCs/>
          <w:sz w:val="32"/>
          <w:szCs w:val="32"/>
        </w:rPr>
        <w:t>第十二条</w:t>
      </w:r>
      <w:r>
        <w:rPr>
          <w:rFonts w:hint="eastAsia" w:ascii="仿宋_GB2312" w:hAnsi="宋体" w:eastAsia="仿宋_GB2312"/>
          <w:b/>
          <w:color w:val="000000"/>
          <w:sz w:val="32"/>
          <w:szCs w:val="32"/>
        </w:rPr>
        <w:t xml:space="preserve"> </w:t>
      </w:r>
      <w:r>
        <w:rPr>
          <w:rFonts w:hint="eastAsia" w:ascii="仿宋_GB2312" w:hAnsi="宋体" w:eastAsia="仿宋_GB2312"/>
          <w:color w:val="000000"/>
          <w:sz w:val="32"/>
          <w:szCs w:val="32"/>
        </w:rPr>
        <w:t>涉及科研项目经费的支出按照科研项目相关管理办法执行。</w:t>
      </w:r>
    </w:p>
    <w:p w14:paraId="5CF7BF35">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宋体" w:eastAsia="仿宋_GB2312"/>
          <w:bCs/>
          <w:color w:val="000000"/>
          <w:sz w:val="32"/>
          <w:szCs w:val="32"/>
        </w:rPr>
      </w:pPr>
      <w:r>
        <w:rPr>
          <w:rFonts w:hint="eastAsia" w:ascii="仿宋_GB2312" w:hAnsi="仿宋_GB2312" w:eastAsia="仿宋_GB2312" w:cs="仿宋_GB2312"/>
          <w:b/>
          <w:bCs/>
          <w:sz w:val="32"/>
          <w:szCs w:val="32"/>
        </w:rPr>
        <w:t>第十三条</w:t>
      </w:r>
      <w:r>
        <w:rPr>
          <w:rFonts w:hint="eastAsia" w:ascii="仿宋_GB2312" w:hAnsi="宋体" w:eastAsia="仿宋_GB2312"/>
          <w:bCs/>
          <w:color w:val="000000"/>
          <w:sz w:val="32"/>
          <w:szCs w:val="32"/>
        </w:rPr>
        <w:t xml:space="preserve"> 经上级有关部门批准的经济业务，必须将批准文件交财务处作为原始凭证的附件。</w:t>
      </w:r>
    </w:p>
    <w:p w14:paraId="29F00918">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宋体" w:eastAsia="仿宋_GB2312"/>
          <w:bCs/>
          <w:color w:val="000000"/>
          <w:sz w:val="32"/>
          <w:szCs w:val="32"/>
        </w:rPr>
      </w:pPr>
      <w:r>
        <w:rPr>
          <w:rFonts w:hint="eastAsia" w:ascii="仿宋_GB2312" w:hAnsi="仿宋_GB2312" w:eastAsia="仿宋_GB2312" w:cs="仿宋_GB2312"/>
          <w:b/>
          <w:bCs/>
          <w:sz w:val="32"/>
          <w:szCs w:val="32"/>
        </w:rPr>
        <w:t>第十四条</w:t>
      </w:r>
      <w:r>
        <w:rPr>
          <w:rFonts w:hint="eastAsia" w:ascii="仿宋_GB2312" w:hAnsi="宋体" w:eastAsia="仿宋_GB2312"/>
          <w:b/>
          <w:color w:val="000000"/>
          <w:sz w:val="32"/>
          <w:szCs w:val="32"/>
        </w:rPr>
        <w:t xml:space="preserve"> </w:t>
      </w:r>
      <w:r>
        <w:rPr>
          <w:rFonts w:hint="eastAsia" w:ascii="仿宋_GB2312" w:hAnsi="宋体" w:eastAsia="仿宋_GB2312"/>
          <w:bCs/>
          <w:color w:val="000000"/>
          <w:sz w:val="32"/>
          <w:szCs w:val="32"/>
        </w:rPr>
        <w:t>院内各单位之间办理的各项经济业务，填制内部转账结算单办理，不得支付现金。</w:t>
      </w:r>
    </w:p>
    <w:p w14:paraId="5FE88C7C">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宋体" w:eastAsia="仿宋_GB2312"/>
          <w:bCs/>
          <w:color w:val="000000"/>
          <w:sz w:val="32"/>
          <w:szCs w:val="32"/>
        </w:rPr>
      </w:pPr>
      <w:r>
        <w:rPr>
          <w:rFonts w:hint="eastAsia" w:ascii="仿宋_GB2312" w:hAnsi="仿宋_GB2312" w:eastAsia="仿宋_GB2312" w:cs="仿宋_GB2312"/>
          <w:b/>
          <w:bCs/>
          <w:sz w:val="32"/>
          <w:szCs w:val="32"/>
        </w:rPr>
        <w:t>第十五条</w:t>
      </w:r>
      <w:r>
        <w:rPr>
          <w:rFonts w:hint="eastAsia" w:ascii="仿宋_GB2312" w:hAnsi="宋体" w:eastAsia="仿宋_GB2312"/>
          <w:bCs/>
          <w:color w:val="000000"/>
          <w:sz w:val="32"/>
          <w:szCs w:val="32"/>
        </w:rPr>
        <w:t xml:space="preserve"> 办理公务支出业务的，应采用银行结算或使用公务卡结算。不具备刷卡条件的按照《北京青年政治学院公务卡管理办法》中规定执行。</w:t>
      </w:r>
    </w:p>
    <w:p w14:paraId="5AD2AEA1">
      <w:pPr>
        <w:keepNext w:val="0"/>
        <w:keepLines w:val="0"/>
        <w:pageBreakBefore w:val="0"/>
        <w:widowControl w:val="0"/>
        <w:kinsoku/>
        <w:wordWrap/>
        <w:overflowPunct/>
        <w:topLinePunct w:val="0"/>
        <w:autoSpaceDE/>
        <w:autoSpaceDN/>
        <w:bidi w:val="0"/>
        <w:adjustRightInd/>
        <w:snapToGrid w:val="0"/>
        <w:spacing w:before="312" w:beforeLines="100" w:line="560" w:lineRule="exact"/>
        <w:jc w:val="center"/>
        <w:textAlignment w:val="auto"/>
        <w:outlineLvl w:val="1"/>
        <w:rPr>
          <w:rFonts w:hint="eastAsia" w:ascii="黑体" w:hAnsi="宋体" w:eastAsia="黑体"/>
          <w:color w:val="000000"/>
          <w:sz w:val="32"/>
          <w:szCs w:val="32"/>
        </w:rPr>
      </w:pPr>
      <w:r>
        <w:rPr>
          <w:rFonts w:hint="eastAsia" w:ascii="黑体" w:hAnsi="宋体" w:eastAsia="黑体"/>
          <w:color w:val="000000"/>
          <w:sz w:val="32"/>
          <w:szCs w:val="32"/>
        </w:rPr>
        <w:t>五、附 则</w:t>
      </w:r>
    </w:p>
    <w:p w14:paraId="0641B4E1">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宋体" w:eastAsia="仿宋_GB2312"/>
          <w:bCs/>
          <w:color w:val="000000"/>
          <w:sz w:val="32"/>
          <w:szCs w:val="32"/>
        </w:rPr>
      </w:pPr>
      <w:r>
        <w:rPr>
          <w:rFonts w:hint="eastAsia" w:ascii="仿宋_GB2312" w:hAnsi="仿宋_GB2312" w:eastAsia="仿宋_GB2312" w:cs="仿宋_GB2312"/>
          <w:b/>
          <w:bCs/>
          <w:sz w:val="32"/>
          <w:szCs w:val="32"/>
        </w:rPr>
        <w:t>第十六条</w:t>
      </w:r>
      <w:r>
        <w:rPr>
          <w:rFonts w:hint="eastAsia" w:ascii="仿宋_GB2312" w:hAnsi="宋体" w:eastAsia="仿宋_GB2312"/>
          <w:bCs/>
          <w:color w:val="000000"/>
          <w:sz w:val="32"/>
          <w:szCs w:val="32"/>
        </w:rPr>
        <w:t xml:space="preserve"> 各单位领导班子要高度重视财务管理工作,严格执行国家法律法规、财经纪律,确保职权范围内的经济活动规范有序,资金使用合理。</w:t>
      </w:r>
    </w:p>
    <w:p w14:paraId="72188C46">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宋体" w:eastAsia="仿宋_GB2312"/>
          <w:bCs/>
          <w:color w:val="000000"/>
          <w:sz w:val="32"/>
          <w:szCs w:val="32"/>
        </w:rPr>
      </w:pPr>
      <w:r>
        <w:rPr>
          <w:rFonts w:hint="eastAsia" w:ascii="仿宋_GB2312" w:hAnsi="仿宋_GB2312" w:eastAsia="仿宋_GB2312" w:cs="仿宋_GB2312"/>
          <w:b/>
          <w:bCs/>
          <w:sz w:val="32"/>
          <w:szCs w:val="32"/>
        </w:rPr>
        <w:t xml:space="preserve">第十七条 </w:t>
      </w:r>
      <w:r>
        <w:rPr>
          <w:rFonts w:hint="eastAsia" w:ascii="仿宋_GB2312" w:hAnsi="宋体" w:eastAsia="仿宋_GB2312"/>
          <w:bCs/>
          <w:color w:val="000000"/>
          <w:sz w:val="32"/>
          <w:szCs w:val="32"/>
        </w:rPr>
        <w:t>本规定在执行过程中，如上级政策发生变化，按照上级有关规定执行。本规定由财务处负责解释。</w:t>
      </w:r>
    </w:p>
    <w:p w14:paraId="29A8D5A6">
      <w:pPr>
        <w:keepNext w:val="0"/>
        <w:keepLines w:val="0"/>
        <w:pageBreakBefore w:val="0"/>
        <w:widowControl w:val="0"/>
        <w:kinsoku/>
        <w:wordWrap/>
        <w:overflowPunct/>
        <w:topLinePunct w:val="0"/>
        <w:autoSpaceDE/>
        <w:autoSpaceDN/>
        <w:bidi w:val="0"/>
        <w:adjustRightInd/>
        <w:spacing w:line="560" w:lineRule="exact"/>
        <w:ind w:firstLine="643" w:firstLineChars="200"/>
        <w:textAlignment w:val="auto"/>
        <w:rPr>
          <w:rFonts w:hint="eastAsia" w:ascii="仿宋_GB2312" w:hAnsi="宋体" w:eastAsia="仿宋_GB2312"/>
          <w:bCs/>
          <w:color w:val="000000"/>
          <w:sz w:val="32"/>
          <w:szCs w:val="32"/>
        </w:rPr>
      </w:pPr>
      <w:r>
        <w:rPr>
          <w:rFonts w:hint="eastAsia" w:ascii="仿宋_GB2312" w:hAnsi="仿宋_GB2312" w:eastAsia="仿宋_GB2312" w:cs="仿宋_GB2312"/>
          <w:b/>
          <w:bCs/>
          <w:sz w:val="32"/>
          <w:szCs w:val="32"/>
        </w:rPr>
        <w:t>第十八条</w:t>
      </w:r>
      <w:r>
        <w:rPr>
          <w:rFonts w:hint="eastAsia" w:ascii="仿宋_GB2312" w:hAnsi="宋体" w:eastAsia="仿宋_GB2312"/>
          <w:b/>
          <w:color w:val="000000"/>
          <w:sz w:val="32"/>
          <w:szCs w:val="32"/>
        </w:rPr>
        <w:t xml:space="preserve"> </w:t>
      </w:r>
      <w:r>
        <w:rPr>
          <w:rFonts w:hint="eastAsia" w:ascii="仿宋_GB2312" w:hAnsi="宋体" w:eastAsia="仿宋_GB2312"/>
          <w:bCs/>
          <w:color w:val="000000"/>
          <w:sz w:val="32"/>
          <w:szCs w:val="32"/>
        </w:rPr>
        <w:t>本规定自发布之日起执行。</w:t>
      </w:r>
    </w:p>
    <w:p w14:paraId="2F14294C">
      <w:pPr>
        <w:spacing w:line="360" w:lineRule="auto"/>
        <w:ind w:firstLine="560" w:firstLineChars="200"/>
        <w:rPr>
          <w:sz w:val="28"/>
          <w:szCs w:val="28"/>
        </w:rPr>
      </w:pPr>
    </w:p>
    <w:p w14:paraId="3FE61D5B">
      <w:pPr>
        <w:widowControl/>
        <w:spacing w:after="4" w:line="360" w:lineRule="auto"/>
        <w:jc w:val="left"/>
      </w:pPr>
    </w:p>
    <w:p w14:paraId="5CA3EA02">
      <w:pPr>
        <w:pStyle w:val="3"/>
      </w:pPr>
    </w:p>
    <w:p w14:paraId="59D14A4A">
      <w:pPr>
        <w:pStyle w:val="3"/>
      </w:pPr>
    </w:p>
    <w:p w14:paraId="4D8CBDF5"/>
    <w:p w14:paraId="5867B922"/>
    <w:tbl>
      <w:tblPr>
        <w:tblStyle w:val="15"/>
        <w:tblpPr w:leftFromText="180" w:rightFromText="180" w:vertAnchor="page" w:horzAnchor="page" w:tblpX="1555" w:tblpY="14002"/>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844"/>
      </w:tblGrid>
      <w:tr w14:paraId="759981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8844" w:type="dxa"/>
            <w:noWrap w:val="0"/>
            <w:vAlign w:val="top"/>
          </w:tcPr>
          <w:p w14:paraId="4221C4FF">
            <w:pPr>
              <w:ind w:firstLine="140" w:firstLineChars="50"/>
              <w:rPr>
                <w:rFonts w:hint="eastAsia"/>
                <w:sz w:val="28"/>
                <w:szCs w:val="28"/>
              </w:rPr>
            </w:pPr>
            <w:r>
              <w:rPr>
                <w:rFonts w:hint="eastAsia" w:ascii="仿宋_GB2312" w:eastAsia="仿宋_GB2312"/>
                <w:sz w:val="28"/>
                <w:szCs w:val="28"/>
              </w:rPr>
              <w:t>党政办公室                                20</w:t>
            </w:r>
            <w:r>
              <w:rPr>
                <w:rFonts w:ascii="仿宋_GB2312" w:eastAsia="仿宋_GB2312"/>
                <w:sz w:val="28"/>
                <w:szCs w:val="28"/>
              </w:rPr>
              <w:t>24</w:t>
            </w:r>
            <w:r>
              <w:rPr>
                <w:rFonts w:hint="eastAsia" w:ascii="仿宋_GB2312" w:eastAsia="仿宋_GB2312"/>
                <w:sz w:val="28"/>
                <w:szCs w:val="28"/>
              </w:rPr>
              <w:t>年1</w:t>
            </w:r>
            <w:r>
              <w:rPr>
                <w:rFonts w:hint="eastAsia" w:ascii="仿宋_GB2312" w:eastAsia="仿宋_GB2312"/>
                <w:sz w:val="28"/>
                <w:szCs w:val="28"/>
                <w:lang w:val="en-US" w:eastAsia="zh-CN"/>
              </w:rPr>
              <w:t>1</w:t>
            </w:r>
            <w:r>
              <w:rPr>
                <w:rFonts w:hint="eastAsia" w:ascii="仿宋_GB2312" w:eastAsia="仿宋_GB2312"/>
                <w:sz w:val="28"/>
                <w:szCs w:val="28"/>
              </w:rPr>
              <w:t>月1</w:t>
            </w:r>
            <w:r>
              <w:rPr>
                <w:rFonts w:hint="eastAsia" w:ascii="仿宋_GB2312" w:eastAsia="仿宋_GB2312"/>
                <w:sz w:val="28"/>
                <w:szCs w:val="28"/>
                <w:lang w:val="en-US" w:eastAsia="zh-CN"/>
              </w:rPr>
              <w:t>8</w:t>
            </w:r>
            <w:r>
              <w:rPr>
                <w:rFonts w:hint="eastAsia" w:ascii="仿宋_GB2312" w:eastAsia="仿宋_GB2312"/>
                <w:sz w:val="28"/>
                <w:szCs w:val="28"/>
              </w:rPr>
              <w:t>日印发</w:t>
            </w:r>
          </w:p>
        </w:tc>
      </w:tr>
    </w:tbl>
    <w:p w14:paraId="46FFA990"/>
    <w:sectPr>
      <w:footerReference r:id="rId3" w:type="default"/>
      <w:footerReference r:id="rId4" w:type="even"/>
      <w:pgSz w:w="11906" w:h="16838"/>
      <w:pgMar w:top="2098" w:right="1474" w:bottom="1985"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5946963"/>
    </w:sdtPr>
    <w:sdtEndPr>
      <w:rPr>
        <w:rFonts w:asciiTheme="minorEastAsia" w:hAnsiTheme="minorEastAsia" w:eastAsiaTheme="minorEastAsia"/>
        <w:sz w:val="28"/>
        <w:szCs w:val="28"/>
      </w:rPr>
    </w:sdtEndPr>
    <w:sdtContent>
      <w:p w14:paraId="06077990">
        <w:pPr>
          <w:pStyle w:val="11"/>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9 -</w:t>
        </w:r>
        <w:r>
          <w:rPr>
            <w:rFonts w:asciiTheme="minorEastAsia" w:hAnsiTheme="minorEastAsia" w:eastAsiaTheme="minorEastAsia"/>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5695001"/>
    </w:sdtPr>
    <w:sdtEndPr>
      <w:rPr>
        <w:rFonts w:asciiTheme="minorEastAsia" w:hAnsiTheme="minorEastAsia" w:eastAsiaTheme="minorEastAsia"/>
        <w:sz w:val="28"/>
        <w:szCs w:val="28"/>
      </w:rPr>
    </w:sdtEndPr>
    <w:sdtContent>
      <w:p w14:paraId="568B1BB1">
        <w:pPr>
          <w:pStyle w:val="11"/>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2</w:t>
        </w:r>
        <w:r>
          <w:rPr>
            <w:rFonts w:asciiTheme="minorEastAsia" w:hAnsiTheme="minorEastAsia" w:eastAsiaTheme="minorEastAsia"/>
            <w:sz w:val="28"/>
            <w:szCs w:val="28"/>
          </w:rPr>
          <w:fldChar w:fldCharType="end"/>
        </w:r>
      </w:p>
    </w:sdtContent>
  </w:sdt>
  <w:p w14:paraId="7E9D9DDE">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NjZTI4MjU4N2RjZTk4NTJkZjdhYjk1NGM3MWNhYjEifQ=="/>
  </w:docVars>
  <w:rsids>
    <w:rsidRoot w:val="003B0CD6"/>
    <w:rsid w:val="00003EDE"/>
    <w:rsid w:val="0000539B"/>
    <w:rsid w:val="00026923"/>
    <w:rsid w:val="00040CC1"/>
    <w:rsid w:val="00086C7E"/>
    <w:rsid w:val="000B125E"/>
    <w:rsid w:val="000C00B7"/>
    <w:rsid w:val="00117913"/>
    <w:rsid w:val="00124259"/>
    <w:rsid w:val="00132924"/>
    <w:rsid w:val="00141836"/>
    <w:rsid w:val="00144A4A"/>
    <w:rsid w:val="001621D3"/>
    <w:rsid w:val="0016376D"/>
    <w:rsid w:val="00165E6E"/>
    <w:rsid w:val="001712CC"/>
    <w:rsid w:val="001972F1"/>
    <w:rsid w:val="001A1900"/>
    <w:rsid w:val="001B0A54"/>
    <w:rsid w:val="001D471A"/>
    <w:rsid w:val="00230290"/>
    <w:rsid w:val="00264522"/>
    <w:rsid w:val="00264DBE"/>
    <w:rsid w:val="002710B3"/>
    <w:rsid w:val="00271C51"/>
    <w:rsid w:val="002758A3"/>
    <w:rsid w:val="002B67AD"/>
    <w:rsid w:val="002F2E50"/>
    <w:rsid w:val="00302EBD"/>
    <w:rsid w:val="00336212"/>
    <w:rsid w:val="00354E2C"/>
    <w:rsid w:val="00390EC5"/>
    <w:rsid w:val="00396E03"/>
    <w:rsid w:val="003B0CD6"/>
    <w:rsid w:val="003B70F3"/>
    <w:rsid w:val="003C030F"/>
    <w:rsid w:val="003F2223"/>
    <w:rsid w:val="003F28E7"/>
    <w:rsid w:val="00404BC3"/>
    <w:rsid w:val="00420B4F"/>
    <w:rsid w:val="00492795"/>
    <w:rsid w:val="004B3EB3"/>
    <w:rsid w:val="004B674D"/>
    <w:rsid w:val="004E168F"/>
    <w:rsid w:val="004F3093"/>
    <w:rsid w:val="00516C9D"/>
    <w:rsid w:val="00533E58"/>
    <w:rsid w:val="005400FF"/>
    <w:rsid w:val="005436C0"/>
    <w:rsid w:val="00595090"/>
    <w:rsid w:val="005F0A01"/>
    <w:rsid w:val="005F21CC"/>
    <w:rsid w:val="00600DF4"/>
    <w:rsid w:val="0067245E"/>
    <w:rsid w:val="00674D04"/>
    <w:rsid w:val="0067718D"/>
    <w:rsid w:val="00685E3F"/>
    <w:rsid w:val="006B1E50"/>
    <w:rsid w:val="006B2732"/>
    <w:rsid w:val="006E29BD"/>
    <w:rsid w:val="00733A48"/>
    <w:rsid w:val="00783924"/>
    <w:rsid w:val="00793CF0"/>
    <w:rsid w:val="00797D4E"/>
    <w:rsid w:val="007A00C1"/>
    <w:rsid w:val="007E0DF1"/>
    <w:rsid w:val="00804A3F"/>
    <w:rsid w:val="0080635D"/>
    <w:rsid w:val="00806D8D"/>
    <w:rsid w:val="00824491"/>
    <w:rsid w:val="0086530B"/>
    <w:rsid w:val="008A10B2"/>
    <w:rsid w:val="008D6177"/>
    <w:rsid w:val="008D644C"/>
    <w:rsid w:val="008F6E5E"/>
    <w:rsid w:val="00944AF4"/>
    <w:rsid w:val="00982EA5"/>
    <w:rsid w:val="009C1917"/>
    <w:rsid w:val="009C3251"/>
    <w:rsid w:val="00A11970"/>
    <w:rsid w:val="00A40B89"/>
    <w:rsid w:val="00A62FF9"/>
    <w:rsid w:val="00AB730C"/>
    <w:rsid w:val="00AB7FC9"/>
    <w:rsid w:val="00AC2C13"/>
    <w:rsid w:val="00AF10D8"/>
    <w:rsid w:val="00AF22DF"/>
    <w:rsid w:val="00B12F8D"/>
    <w:rsid w:val="00B13AC4"/>
    <w:rsid w:val="00B45191"/>
    <w:rsid w:val="00B63457"/>
    <w:rsid w:val="00B713B8"/>
    <w:rsid w:val="00B802F2"/>
    <w:rsid w:val="00B96CFC"/>
    <w:rsid w:val="00BB6C0C"/>
    <w:rsid w:val="00BC521B"/>
    <w:rsid w:val="00C02884"/>
    <w:rsid w:val="00C03573"/>
    <w:rsid w:val="00C45B56"/>
    <w:rsid w:val="00C9285D"/>
    <w:rsid w:val="00CA10A4"/>
    <w:rsid w:val="00CC163C"/>
    <w:rsid w:val="00CD2036"/>
    <w:rsid w:val="00D17066"/>
    <w:rsid w:val="00D22B72"/>
    <w:rsid w:val="00D26171"/>
    <w:rsid w:val="00D338C9"/>
    <w:rsid w:val="00D367FD"/>
    <w:rsid w:val="00D545ED"/>
    <w:rsid w:val="00DA1991"/>
    <w:rsid w:val="00DC2CDA"/>
    <w:rsid w:val="00DE7FAB"/>
    <w:rsid w:val="00DF7931"/>
    <w:rsid w:val="00E010D6"/>
    <w:rsid w:val="00E27863"/>
    <w:rsid w:val="00E43CDB"/>
    <w:rsid w:val="00E44631"/>
    <w:rsid w:val="00E57937"/>
    <w:rsid w:val="00E61423"/>
    <w:rsid w:val="00E643C9"/>
    <w:rsid w:val="00E84CE1"/>
    <w:rsid w:val="00E87074"/>
    <w:rsid w:val="00E90120"/>
    <w:rsid w:val="00EA4574"/>
    <w:rsid w:val="00EA4669"/>
    <w:rsid w:val="00EC36EE"/>
    <w:rsid w:val="00EC6359"/>
    <w:rsid w:val="00ED240B"/>
    <w:rsid w:val="00EF0C91"/>
    <w:rsid w:val="00EF5C33"/>
    <w:rsid w:val="00F25F19"/>
    <w:rsid w:val="00F52EA4"/>
    <w:rsid w:val="00F6003D"/>
    <w:rsid w:val="00F946B3"/>
    <w:rsid w:val="00FA0426"/>
    <w:rsid w:val="00FD6783"/>
    <w:rsid w:val="00FE7314"/>
    <w:rsid w:val="00FF0C27"/>
    <w:rsid w:val="00FF7C37"/>
    <w:rsid w:val="01527049"/>
    <w:rsid w:val="062C4B29"/>
    <w:rsid w:val="07B06AF1"/>
    <w:rsid w:val="111937F1"/>
    <w:rsid w:val="1A174A00"/>
    <w:rsid w:val="1B6042A9"/>
    <w:rsid w:val="3949332A"/>
    <w:rsid w:val="3CAE1ACE"/>
    <w:rsid w:val="41561A55"/>
    <w:rsid w:val="436259A5"/>
    <w:rsid w:val="45153BAC"/>
    <w:rsid w:val="466E62E2"/>
    <w:rsid w:val="474B5F10"/>
    <w:rsid w:val="480A28B8"/>
    <w:rsid w:val="4C1604EC"/>
    <w:rsid w:val="52EB665E"/>
    <w:rsid w:val="5C796DC4"/>
    <w:rsid w:val="5D0F3B77"/>
    <w:rsid w:val="66E542DE"/>
    <w:rsid w:val="68F3344C"/>
    <w:rsid w:val="6EC801D0"/>
    <w:rsid w:val="72403231"/>
    <w:rsid w:val="739647FD"/>
    <w:rsid w:val="74937E10"/>
    <w:rsid w:val="79385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0"/>
    <w:qFormat/>
    <w:uiPriority w:val="9"/>
    <w:pPr>
      <w:widowControl/>
      <w:spacing w:before="100" w:beforeAutospacing="1" w:after="100" w:afterAutospacing="1"/>
      <w:jc w:val="left"/>
      <w:outlineLvl w:val="1"/>
    </w:pPr>
    <w:rPr>
      <w:rFonts w:ascii="宋体" w:hAnsi="宋体"/>
      <w:b/>
      <w:bCs/>
      <w:kern w:val="0"/>
      <w:sz w:val="36"/>
      <w:szCs w:val="36"/>
    </w:rPr>
  </w:style>
  <w:style w:type="character" w:default="1" w:styleId="17">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35"/>
    <w:rPr>
      <w:rFonts w:ascii="Cambria" w:hAnsi="Cambria" w:eastAsia="黑体"/>
      <w:sz w:val="20"/>
      <w:szCs w:val="20"/>
    </w:rPr>
  </w:style>
  <w:style w:type="paragraph" w:styleId="5">
    <w:name w:val="Body Text"/>
    <w:basedOn w:val="1"/>
    <w:link w:val="24"/>
    <w:qFormat/>
    <w:uiPriority w:val="0"/>
    <w:pPr>
      <w:spacing w:after="120"/>
    </w:pPr>
  </w:style>
  <w:style w:type="paragraph" w:styleId="6">
    <w:name w:val="Body Text Indent"/>
    <w:basedOn w:val="1"/>
    <w:link w:val="25"/>
    <w:qFormat/>
    <w:uiPriority w:val="0"/>
    <w:pPr>
      <w:spacing w:after="120"/>
      <w:ind w:left="420" w:leftChars="200"/>
    </w:pPr>
    <w:rPr>
      <w:rFonts w:ascii="Calibri" w:hAnsi="Calibri"/>
      <w:sz w:val="18"/>
      <w:szCs w:val="18"/>
    </w:rPr>
  </w:style>
  <w:style w:type="paragraph" w:styleId="7">
    <w:name w:val="Plain Text"/>
    <w:basedOn w:val="1"/>
    <w:link w:val="38"/>
    <w:qFormat/>
    <w:uiPriority w:val="0"/>
    <w:rPr>
      <w:rFonts w:ascii="宋体" w:hAnsi="Courier New" w:eastAsia="仿宋_GB2312"/>
      <w:sz w:val="32"/>
      <w:szCs w:val="21"/>
    </w:rPr>
  </w:style>
  <w:style w:type="paragraph" w:styleId="8">
    <w:name w:val="Date"/>
    <w:basedOn w:val="1"/>
    <w:next w:val="1"/>
    <w:link w:val="26"/>
    <w:qFormat/>
    <w:uiPriority w:val="0"/>
    <w:pPr>
      <w:ind w:left="100" w:leftChars="2500"/>
    </w:pPr>
  </w:style>
  <w:style w:type="paragraph" w:styleId="9">
    <w:name w:val="Body Text Indent 2"/>
    <w:basedOn w:val="1"/>
    <w:link w:val="27"/>
    <w:qFormat/>
    <w:uiPriority w:val="0"/>
    <w:pPr>
      <w:spacing w:after="120" w:line="480" w:lineRule="auto"/>
      <w:ind w:left="420" w:leftChars="200"/>
    </w:pPr>
  </w:style>
  <w:style w:type="paragraph" w:styleId="10">
    <w:name w:val="Balloon Text"/>
    <w:basedOn w:val="1"/>
    <w:link w:val="39"/>
    <w:qFormat/>
    <w:uiPriority w:val="0"/>
    <w:rPr>
      <w:rFonts w:cs="宋体" w:asciiTheme="minorHAnsi" w:hAnsiTheme="minorHAnsi" w:eastAsiaTheme="minorEastAsia"/>
      <w:sz w:val="18"/>
      <w:szCs w:val="18"/>
    </w:rPr>
  </w:style>
  <w:style w:type="paragraph" w:styleId="11">
    <w:name w:val="footer"/>
    <w:basedOn w:val="1"/>
    <w:link w:val="23"/>
    <w:unhideWhenUsed/>
    <w:qFormat/>
    <w:uiPriority w:val="99"/>
    <w:pPr>
      <w:tabs>
        <w:tab w:val="center" w:pos="4153"/>
        <w:tab w:val="right" w:pos="8306"/>
      </w:tabs>
      <w:snapToGrid w:val="0"/>
      <w:jc w:val="left"/>
    </w:pPr>
    <w:rPr>
      <w:sz w:val="18"/>
      <w:szCs w:val="18"/>
    </w:rPr>
  </w:style>
  <w:style w:type="paragraph" w:styleId="12">
    <w:name w:val="header"/>
    <w:basedOn w:val="1"/>
    <w:link w:val="22"/>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Indent 3"/>
    <w:basedOn w:val="1"/>
    <w:link w:val="28"/>
    <w:qFormat/>
    <w:uiPriority w:val="0"/>
    <w:pPr>
      <w:spacing w:after="120"/>
      <w:ind w:left="420" w:leftChars="200"/>
    </w:pPr>
    <w:rPr>
      <w:sz w:val="16"/>
      <w:szCs w:val="16"/>
    </w:r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18"/>
      <w:szCs w:val="18"/>
    </w:rPr>
  </w:style>
  <w:style w:type="table" w:styleId="16">
    <w:name w:val="Table Grid"/>
    <w:basedOn w:val="1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qFormat/>
    <w:uiPriority w:val="0"/>
    <w:rPr>
      <w:rFonts w:cs="Times New Roman"/>
    </w:rPr>
  </w:style>
  <w:style w:type="character" w:styleId="19">
    <w:name w:val="line number"/>
    <w:qFormat/>
    <w:uiPriority w:val="0"/>
  </w:style>
  <w:style w:type="character" w:customStyle="1" w:styleId="20">
    <w:name w:val="标题 2 字符"/>
    <w:basedOn w:val="17"/>
    <w:link w:val="3"/>
    <w:qFormat/>
    <w:uiPriority w:val="9"/>
    <w:rPr>
      <w:rFonts w:ascii="宋体" w:hAnsi="宋体" w:eastAsia="宋体" w:cs="Times New Roman"/>
      <w:b/>
      <w:bCs/>
      <w:kern w:val="0"/>
      <w:sz w:val="36"/>
      <w:szCs w:val="36"/>
    </w:rPr>
  </w:style>
  <w:style w:type="character" w:customStyle="1" w:styleId="21">
    <w:name w:val="标题 1 字符"/>
    <w:basedOn w:val="17"/>
    <w:link w:val="2"/>
    <w:qFormat/>
    <w:uiPriority w:val="0"/>
    <w:rPr>
      <w:rFonts w:ascii="Times New Roman" w:hAnsi="Times New Roman" w:eastAsia="宋体" w:cs="Times New Roman"/>
      <w:b/>
      <w:bCs/>
      <w:kern w:val="44"/>
      <w:sz w:val="44"/>
      <w:szCs w:val="44"/>
    </w:rPr>
  </w:style>
  <w:style w:type="character" w:customStyle="1" w:styleId="22">
    <w:name w:val="页眉 字符"/>
    <w:basedOn w:val="17"/>
    <w:link w:val="12"/>
    <w:qFormat/>
    <w:uiPriority w:val="0"/>
    <w:rPr>
      <w:sz w:val="18"/>
      <w:szCs w:val="18"/>
    </w:rPr>
  </w:style>
  <w:style w:type="character" w:customStyle="1" w:styleId="23">
    <w:name w:val="页脚 字符"/>
    <w:basedOn w:val="17"/>
    <w:link w:val="11"/>
    <w:qFormat/>
    <w:uiPriority w:val="99"/>
    <w:rPr>
      <w:sz w:val="18"/>
      <w:szCs w:val="18"/>
    </w:rPr>
  </w:style>
  <w:style w:type="character" w:customStyle="1" w:styleId="24">
    <w:name w:val="正文文本 字符"/>
    <w:basedOn w:val="17"/>
    <w:link w:val="5"/>
    <w:qFormat/>
    <w:uiPriority w:val="0"/>
    <w:rPr>
      <w:rFonts w:ascii="Times New Roman" w:hAnsi="Times New Roman" w:eastAsia="宋体" w:cs="Times New Roman"/>
      <w:szCs w:val="24"/>
    </w:rPr>
  </w:style>
  <w:style w:type="character" w:customStyle="1" w:styleId="25">
    <w:name w:val="正文文本缩进 字符"/>
    <w:basedOn w:val="17"/>
    <w:link w:val="6"/>
    <w:qFormat/>
    <w:uiPriority w:val="0"/>
    <w:rPr>
      <w:rFonts w:ascii="Calibri" w:hAnsi="Calibri" w:eastAsia="宋体" w:cs="Times New Roman"/>
      <w:sz w:val="18"/>
      <w:szCs w:val="18"/>
    </w:rPr>
  </w:style>
  <w:style w:type="character" w:customStyle="1" w:styleId="26">
    <w:name w:val="日期 字符"/>
    <w:basedOn w:val="17"/>
    <w:link w:val="8"/>
    <w:qFormat/>
    <w:uiPriority w:val="0"/>
    <w:rPr>
      <w:rFonts w:ascii="Times New Roman" w:hAnsi="Times New Roman" w:eastAsia="宋体" w:cs="Times New Roman"/>
      <w:szCs w:val="24"/>
    </w:rPr>
  </w:style>
  <w:style w:type="character" w:customStyle="1" w:styleId="27">
    <w:name w:val="正文文本缩进 2 字符"/>
    <w:basedOn w:val="17"/>
    <w:link w:val="9"/>
    <w:qFormat/>
    <w:uiPriority w:val="0"/>
    <w:rPr>
      <w:rFonts w:ascii="Times New Roman" w:hAnsi="Times New Roman" w:eastAsia="宋体" w:cs="Times New Roman"/>
      <w:szCs w:val="24"/>
    </w:rPr>
  </w:style>
  <w:style w:type="character" w:customStyle="1" w:styleId="28">
    <w:name w:val="正文文本缩进 3 字符"/>
    <w:basedOn w:val="17"/>
    <w:link w:val="13"/>
    <w:qFormat/>
    <w:uiPriority w:val="0"/>
    <w:rPr>
      <w:rFonts w:ascii="Times New Roman" w:hAnsi="Times New Roman" w:eastAsia="宋体" w:cs="Times New Roman"/>
      <w:sz w:val="16"/>
      <w:szCs w:val="16"/>
    </w:rPr>
  </w:style>
  <w:style w:type="paragraph" w:customStyle="1" w:styleId="29">
    <w:name w:val="p0"/>
    <w:basedOn w:val="1"/>
    <w:qFormat/>
    <w:uiPriority w:val="0"/>
    <w:pPr>
      <w:widowControl/>
    </w:pPr>
    <w:rPr>
      <w:kern w:val="0"/>
      <w:szCs w:val="21"/>
    </w:rPr>
  </w:style>
  <w:style w:type="paragraph" w:styleId="30">
    <w:name w:val="List Paragraph"/>
    <w:basedOn w:val="1"/>
    <w:qFormat/>
    <w:uiPriority w:val="34"/>
    <w:pPr>
      <w:ind w:firstLine="420" w:firstLineChars="200"/>
    </w:pPr>
  </w:style>
  <w:style w:type="paragraph" w:customStyle="1" w:styleId="31">
    <w:name w:val="p15"/>
    <w:basedOn w:val="1"/>
    <w:qFormat/>
    <w:uiPriority w:val="0"/>
    <w:pPr>
      <w:widowControl/>
      <w:ind w:firstLine="420"/>
    </w:pPr>
    <w:rPr>
      <w:kern w:val="0"/>
      <w:szCs w:val="21"/>
    </w:rPr>
  </w:style>
  <w:style w:type="paragraph" w:customStyle="1" w:styleId="32">
    <w:name w:val="列出段落1"/>
    <w:basedOn w:val="1"/>
    <w:qFormat/>
    <w:uiPriority w:val="0"/>
    <w:pPr>
      <w:ind w:left="720"/>
    </w:pPr>
    <w:rPr>
      <w:rFonts w:ascii="Calibri" w:hAnsi="Calibri"/>
      <w:szCs w:val="22"/>
    </w:rPr>
  </w:style>
  <w:style w:type="character" w:customStyle="1" w:styleId="33">
    <w:name w:val="UserStyle_8"/>
    <w:link w:val="34"/>
    <w:qFormat/>
    <w:locked/>
    <w:uiPriority w:val="0"/>
  </w:style>
  <w:style w:type="paragraph" w:customStyle="1" w:styleId="34">
    <w:name w:val="UserStyle_9"/>
    <w:basedOn w:val="1"/>
    <w:link w:val="33"/>
    <w:qFormat/>
    <w:uiPriority w:val="0"/>
    <w:rPr>
      <w:rFonts w:asciiTheme="minorHAnsi" w:hAnsiTheme="minorHAnsi" w:eastAsiaTheme="minorEastAsia" w:cstheme="minorBidi"/>
      <w:szCs w:val="22"/>
    </w:rPr>
  </w:style>
  <w:style w:type="character" w:customStyle="1" w:styleId="35">
    <w:name w:val="fontstyle11"/>
    <w:qFormat/>
    <w:uiPriority w:val="0"/>
    <w:rPr>
      <w:rFonts w:hint="eastAsia" w:ascii="仿宋_GB2312" w:eastAsia="仿宋_GB2312"/>
      <w:color w:val="000000"/>
      <w:sz w:val="32"/>
      <w:szCs w:val="32"/>
    </w:rPr>
  </w:style>
  <w:style w:type="character" w:customStyle="1" w:styleId="36">
    <w:name w:val="fontstyle01"/>
    <w:qFormat/>
    <w:uiPriority w:val="0"/>
    <w:rPr>
      <w:rFonts w:hint="eastAsia" w:ascii="仿宋" w:hAnsi="仿宋" w:eastAsia="仿宋"/>
      <w:color w:val="000000"/>
      <w:sz w:val="32"/>
      <w:szCs w:val="32"/>
    </w:rPr>
  </w:style>
  <w:style w:type="paragraph" w:customStyle="1" w:styleId="37">
    <w:name w:val="Body text|1"/>
    <w:basedOn w:val="1"/>
    <w:qFormat/>
    <w:uiPriority w:val="0"/>
    <w:pPr>
      <w:spacing w:line="439" w:lineRule="auto"/>
      <w:ind w:firstLine="400"/>
    </w:pPr>
    <w:rPr>
      <w:rFonts w:ascii="宋体" w:hAnsi="宋体" w:cs="宋体"/>
      <w:sz w:val="30"/>
      <w:szCs w:val="30"/>
      <w:lang w:val="zh-TW" w:eastAsia="zh-TW" w:bidi="zh-TW"/>
    </w:rPr>
  </w:style>
  <w:style w:type="character" w:customStyle="1" w:styleId="38">
    <w:name w:val="纯文本 字符"/>
    <w:basedOn w:val="17"/>
    <w:link w:val="7"/>
    <w:qFormat/>
    <w:uiPriority w:val="0"/>
    <w:rPr>
      <w:rFonts w:ascii="宋体" w:hAnsi="Courier New" w:eastAsia="仿宋_GB2312" w:cs="Times New Roman"/>
      <w:sz w:val="32"/>
      <w:szCs w:val="21"/>
    </w:rPr>
  </w:style>
  <w:style w:type="character" w:customStyle="1" w:styleId="39">
    <w:name w:val="批注框文本 字符"/>
    <w:link w:val="10"/>
    <w:qFormat/>
    <w:uiPriority w:val="0"/>
    <w:rPr>
      <w:rFonts w:cs="宋体"/>
      <w:sz w:val="18"/>
      <w:szCs w:val="18"/>
    </w:rPr>
  </w:style>
  <w:style w:type="character" w:customStyle="1" w:styleId="40">
    <w:name w:val="批注框文本 Char1"/>
    <w:basedOn w:val="17"/>
    <w:semiHidden/>
    <w:qFormat/>
    <w:uiPriority w:val="99"/>
    <w:rPr>
      <w:rFonts w:ascii="Times New Roman" w:hAnsi="Times New Roman" w:eastAsia="宋体" w:cs="Times New Roman"/>
      <w:sz w:val="18"/>
      <w:szCs w:val="18"/>
    </w:rPr>
  </w:style>
  <w:style w:type="character" w:customStyle="1" w:styleId="41">
    <w:name w:val="fontstyle21"/>
    <w:qFormat/>
    <w:uiPriority w:val="0"/>
    <w:rPr>
      <w:rFonts w:hint="eastAsia" w:ascii="仿宋_GB2312" w:eastAsia="仿宋_GB2312"/>
      <w:color w:val="000000"/>
      <w:sz w:val="32"/>
      <w:szCs w:val="32"/>
    </w:rPr>
  </w:style>
  <w:style w:type="table" w:customStyle="1" w:styleId="42">
    <w:name w:val="TableGrid"/>
    <w:qFormat/>
    <w:uiPriority w:val="0"/>
    <w:rPr>
      <w:kern w:val="2"/>
      <w:sz w:val="21"/>
      <w:szCs w:val="22"/>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2219</Words>
  <Characters>2294</Characters>
  <Lines>23</Lines>
  <Paragraphs>6</Paragraphs>
  <TotalTime>0</TotalTime>
  <ScaleCrop>false</ScaleCrop>
  <LinksUpToDate>false</LinksUpToDate>
  <CharactersWithSpaces>2311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2023-02-02T03:06:00Z</dcterms:created>
  <dc:creator>DELL</dc:creator>
  <cp:lastModifiedBy>DELL</cp:lastModifiedBy>
  <cp:lastPrinted>2023-09-27T01:02:00Z</cp:lastPrinted>
  <dcterms:modified xsi:type="dcterms:W3CDTF">2024-11-19T05:41:15Z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E18BE9BC52034ED686654ADAE74B86A6_13</vt:lpwstr>
  </property>
</Properties>
</file>