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436"/>
        <w:gridCol w:w="53"/>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5000" w:type="pct"/>
            <w:gridSpan w:val="2"/>
            <w:tcBorders>
              <w:top w:val="nil"/>
              <w:left w:val="nil"/>
              <w:bottom w:val="nil"/>
              <w:right w:val="nil"/>
            </w:tcBorders>
            <w:vAlign w:val="center"/>
          </w:tcPr>
          <w:p>
            <w:pPr>
              <w:jc w:val="center"/>
              <w:rPr>
                <w:rFonts w:ascii="方正小标宋简体" w:hAnsi="宋体" w:eastAsia="方正小标宋简体"/>
                <w:bCs/>
                <w:color w:val="FF0000"/>
                <w:spacing w:val="10"/>
                <w:sz w:val="64"/>
                <w:szCs w:val="64"/>
              </w:rPr>
            </w:pPr>
            <w:r>
              <w:rPr>
                <w:rFonts w:hint="eastAsia" w:ascii="方正小标宋简体" w:hAnsi="宋体" w:eastAsia="方正小标宋简体"/>
                <w:color w:val="FF0000"/>
                <w:spacing w:val="60"/>
                <w:sz w:val="64"/>
                <w:szCs w:val="64"/>
              </w:rPr>
              <w:t>北京青年政治学院文</w:t>
            </w:r>
            <w:r>
              <w:rPr>
                <w:rFonts w:hint="eastAsia" w:ascii="方正小标宋简体" w:hAnsi="宋体" w:eastAsia="方正小标宋简体"/>
                <w:color w:val="FF0000"/>
                <w:sz w:val="64"/>
                <w:szCs w:val="64"/>
              </w:rPr>
              <w:t>件</w:t>
            </w:r>
          </w:p>
        </w:tc>
      </w:tr>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8" w:type="pct"/>
          <w:trHeight w:val="572" w:hRule="atLeast"/>
          <w:jc w:val="center"/>
        </w:trPr>
        <w:tc>
          <w:tcPr>
            <w:tcW w:w="4972" w:type="pct"/>
            <w:tcBorders>
              <w:top w:val="nil"/>
              <w:left w:val="nil"/>
              <w:bottom w:val="single" w:color="FF0000" w:sz="18" w:space="0"/>
              <w:right w:val="nil"/>
            </w:tcBorders>
            <w:vAlign w:val="center"/>
          </w:tcPr>
          <w:p>
            <w:pPr>
              <w:jc w:val="center"/>
              <w:rPr>
                <w:rFonts w:ascii="仿宋_GB2312" w:hAnsi="宋体" w:eastAsia="仿宋_GB2312" w:cs="仿宋_GB2312"/>
                <w:sz w:val="32"/>
                <w:szCs w:val="32"/>
              </w:rPr>
            </w:pPr>
          </w:p>
          <w:p>
            <w:pPr>
              <w:jc w:val="center"/>
              <w:rPr>
                <w:rFonts w:ascii="仿宋_GB2312" w:hAnsi="宋体" w:eastAsia="仿宋_GB2312"/>
                <w:sz w:val="32"/>
                <w:szCs w:val="32"/>
              </w:rPr>
            </w:pPr>
            <w:r>
              <w:rPr>
                <w:rFonts w:hint="eastAsia" w:ascii="仿宋_GB2312" w:hAnsi="宋体" w:eastAsia="仿宋_GB2312" w:cs="仿宋_GB2312"/>
                <w:sz w:val="32"/>
                <w:szCs w:val="32"/>
              </w:rPr>
              <w:t>院发〔202</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21</w:t>
            </w:r>
            <w:r>
              <w:rPr>
                <w:rFonts w:hint="eastAsia" w:ascii="仿宋_GB2312" w:hAnsi="宋体" w:eastAsia="仿宋_GB2312" w:cs="仿宋_GB2312"/>
                <w:sz w:val="32"/>
                <w:szCs w:val="32"/>
              </w:rPr>
              <w:t>号</w:t>
            </w:r>
          </w:p>
        </w:tc>
      </w:tr>
    </w:tbl>
    <w:p>
      <w:pPr>
        <w:autoSpaceDE w:val="0"/>
        <w:autoSpaceDN w:val="0"/>
        <w:adjustRightInd w:val="0"/>
        <w:spacing w:line="560" w:lineRule="exact"/>
        <w:contextualSpacing/>
        <w:jc w:val="both"/>
        <w:rPr>
          <w:rFonts w:ascii="方正小标宋简体" w:hAnsi="华文中宋" w:eastAsia="方正小标宋简体" w:cs="Times New Roman"/>
          <w:color w:val="000000"/>
          <w:sz w:val="44"/>
          <w:szCs w:val="44"/>
        </w:rPr>
      </w:pPr>
    </w:p>
    <w:p>
      <w:pPr>
        <w:keepNext w:val="0"/>
        <w:keepLines w:val="0"/>
        <w:pageBreakBefore w:val="0"/>
        <w:widowControl w:val="0"/>
        <w:kinsoku/>
        <w:wordWrap/>
        <w:overflowPunct/>
        <w:topLinePunct w:val="0"/>
        <w:autoSpaceDE w:val="0"/>
        <w:autoSpaceDN w:val="0"/>
        <w:bidi w:val="0"/>
        <w:adjustRightInd w:val="0"/>
        <w:snapToGrid/>
        <w:spacing w:before="625" w:beforeLines="200" w:line="560" w:lineRule="exact"/>
        <w:contextualSpacing/>
        <w:jc w:val="center"/>
        <w:textAlignment w:val="auto"/>
        <w:rPr>
          <w:rFonts w:hint="eastAsia" w:ascii="方正小标宋简体" w:hAnsi="华文中宋" w:eastAsia="方正小标宋简体"/>
          <w:color w:val="000000"/>
          <w:sz w:val="44"/>
          <w:szCs w:val="44"/>
        </w:rPr>
      </w:pPr>
    </w:p>
    <w:p>
      <w:pPr>
        <w:keepNext w:val="0"/>
        <w:keepLines w:val="0"/>
        <w:pageBreakBefore w:val="0"/>
        <w:widowControl w:val="0"/>
        <w:kinsoku/>
        <w:wordWrap/>
        <w:overflowPunct/>
        <w:topLinePunct w:val="0"/>
        <w:autoSpaceDE w:val="0"/>
        <w:autoSpaceDN w:val="0"/>
        <w:bidi w:val="0"/>
        <w:adjustRightInd w:val="0"/>
        <w:snapToGrid/>
        <w:spacing w:before="625" w:beforeLines="200" w:line="560" w:lineRule="exact"/>
        <w:contextualSpacing/>
        <w:jc w:val="center"/>
        <w:textAlignment w:val="auto"/>
        <w:rPr>
          <w:rFonts w:hint="eastAsia" w:ascii="方正小标宋简体" w:hAnsi="华文中宋" w:eastAsia="方正小标宋简体"/>
          <w:color w:val="000000"/>
          <w:sz w:val="44"/>
          <w:szCs w:val="44"/>
        </w:rPr>
      </w:pPr>
      <w:r>
        <w:rPr>
          <w:rFonts w:hint="eastAsia" w:ascii="方正小标宋简体" w:hAnsi="华文中宋" w:eastAsia="方正小标宋简体"/>
          <w:color w:val="000000"/>
          <w:sz w:val="44"/>
          <w:szCs w:val="44"/>
        </w:rPr>
        <w:t>北京青年政治学院</w:t>
      </w:r>
    </w:p>
    <w:p>
      <w:pPr>
        <w:widowControl/>
        <w:autoSpaceDE w:val="0"/>
        <w:autoSpaceDN w:val="0"/>
        <w:adjustRightInd w:val="0"/>
        <w:spacing w:line="500" w:lineRule="exact"/>
        <w:jc w:val="center"/>
        <w:rPr>
          <w:rFonts w:hint="eastAsia" w:ascii="方正小标宋简体" w:hAnsi="宋体" w:eastAsia="方正小标宋简体" w:cs="宋体"/>
          <w:bCs/>
          <w:kern w:val="0"/>
          <w:sz w:val="44"/>
          <w:szCs w:val="44"/>
        </w:rPr>
      </w:pPr>
      <w:r>
        <w:rPr>
          <w:rFonts w:hint="eastAsia" w:ascii="方正小标宋简体" w:hAnsi="华文中宋" w:eastAsia="方正小标宋简体"/>
          <w:color w:val="000000"/>
          <w:sz w:val="44"/>
          <w:szCs w:val="44"/>
        </w:rPr>
        <w:t>关于印发《</w:t>
      </w:r>
      <w:r>
        <w:rPr>
          <w:rFonts w:hint="eastAsia" w:ascii="方正小标宋简体" w:hAnsi="宋体" w:eastAsia="方正小标宋简体" w:cs="宋体"/>
          <w:bCs/>
          <w:kern w:val="0"/>
          <w:sz w:val="44"/>
          <w:szCs w:val="44"/>
        </w:rPr>
        <w:t>北京青年政治学院</w:t>
      </w:r>
    </w:p>
    <w:p>
      <w:pPr>
        <w:autoSpaceDE w:val="0"/>
        <w:autoSpaceDN w:val="0"/>
        <w:adjustRightInd w:val="0"/>
        <w:spacing w:line="560" w:lineRule="exact"/>
        <w:contextualSpacing/>
        <w:jc w:val="center"/>
        <w:rPr>
          <w:rFonts w:ascii="方正小标宋简体" w:hAnsi="华文中宋" w:eastAsia="方正小标宋简体"/>
          <w:color w:val="000000"/>
          <w:sz w:val="44"/>
          <w:szCs w:val="44"/>
        </w:rPr>
      </w:pPr>
      <w:r>
        <w:rPr>
          <w:rFonts w:hint="eastAsia" w:ascii="方正小标宋简体" w:hAnsi="宋体" w:eastAsia="方正小标宋简体" w:cs="宋体"/>
          <w:bCs/>
          <w:kern w:val="0"/>
          <w:sz w:val="44"/>
          <w:szCs w:val="44"/>
        </w:rPr>
        <w:t>国家助学贷款奖补资金使用细则</w:t>
      </w:r>
      <w:r>
        <w:rPr>
          <w:rFonts w:hint="eastAsia" w:ascii="方正小标宋简体" w:hAnsi="华文中宋" w:eastAsia="方正小标宋简体"/>
          <w:color w:val="000000"/>
          <w:sz w:val="44"/>
          <w:szCs w:val="44"/>
        </w:rPr>
        <w:t>》的通知</w:t>
      </w:r>
    </w:p>
    <w:p>
      <w:pPr>
        <w:autoSpaceDE w:val="0"/>
        <w:autoSpaceDN w:val="0"/>
        <w:adjustRightInd w:val="0"/>
        <w:spacing w:line="560" w:lineRule="exact"/>
        <w:contextualSpacing/>
        <w:jc w:val="center"/>
        <w:rPr>
          <w:rFonts w:ascii="方正小标宋简体" w:hAnsi="华文中宋" w:eastAsia="方正小标宋简体"/>
          <w:color w:val="000000"/>
          <w:sz w:val="44"/>
          <w:szCs w:val="44"/>
        </w:rPr>
      </w:pPr>
    </w:p>
    <w:p>
      <w:pPr>
        <w:spacing w:line="560" w:lineRule="exact"/>
        <w:rPr>
          <w:rFonts w:ascii="楷体_GB2312" w:hAnsi="楷体" w:eastAsia="楷体_GB2312"/>
          <w:color w:val="000000"/>
          <w:sz w:val="32"/>
          <w:szCs w:val="32"/>
        </w:rPr>
      </w:pPr>
      <w:r>
        <w:rPr>
          <w:rFonts w:hint="eastAsia" w:ascii="楷体_GB2312" w:hAnsi="楷体" w:eastAsia="楷体_GB2312"/>
          <w:color w:val="000000"/>
          <w:sz w:val="32"/>
          <w:szCs w:val="32"/>
        </w:rPr>
        <w:t>各部门、单位：</w:t>
      </w:r>
    </w:p>
    <w:p>
      <w:pPr>
        <w:widowControl/>
        <w:spacing w:line="560" w:lineRule="exact"/>
        <w:ind w:firstLine="640" w:firstLineChars="200"/>
        <w:rPr>
          <w:rFonts w:ascii="楷体_GB2312" w:hAnsi="楷体" w:eastAsia="楷体_GB2312"/>
          <w:color w:val="000000"/>
          <w:sz w:val="32"/>
          <w:szCs w:val="32"/>
        </w:rPr>
      </w:pPr>
      <w:r>
        <w:rPr>
          <w:rFonts w:hint="eastAsia" w:ascii="楷体_GB2312" w:hAnsi="楷体" w:eastAsia="楷体_GB2312"/>
          <w:color w:val="000000"/>
          <w:sz w:val="32"/>
          <w:szCs w:val="32"/>
        </w:rPr>
        <w:t>《北京青年政治学院国家助学贷款奖补资金使用细则》</w:t>
      </w:r>
      <w:r>
        <w:rPr>
          <w:rFonts w:hint="eastAsia" w:ascii="楷体_GB2312" w:hAnsi="楷体" w:eastAsia="楷体_GB2312"/>
          <w:sz w:val="32"/>
          <w:szCs w:val="32"/>
        </w:rPr>
        <w:t>经学院202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w:t>
      </w:r>
      <w:r>
        <w:rPr>
          <w:rFonts w:hint="eastAsia" w:ascii="楷体_GB2312" w:hAnsi="楷体" w:eastAsia="楷体_GB2312"/>
          <w:sz w:val="32"/>
          <w:szCs w:val="32"/>
          <w:lang w:val="en-US" w:eastAsia="zh-CN"/>
        </w:rPr>
        <w:t>6</w:t>
      </w:r>
      <w:r>
        <w:rPr>
          <w:rFonts w:hint="eastAsia" w:ascii="楷体_GB2312" w:hAnsi="楷体" w:eastAsia="楷体_GB2312"/>
          <w:sz w:val="32"/>
          <w:szCs w:val="32"/>
        </w:rPr>
        <w:t>月</w:t>
      </w:r>
      <w:r>
        <w:rPr>
          <w:rFonts w:hint="eastAsia" w:ascii="楷体_GB2312" w:hAnsi="楷体" w:eastAsia="楷体_GB2312"/>
          <w:sz w:val="32"/>
          <w:szCs w:val="32"/>
          <w:lang w:val="en-US" w:eastAsia="zh-CN"/>
        </w:rPr>
        <w:t>20</w:t>
      </w:r>
      <w:r>
        <w:rPr>
          <w:rFonts w:hint="eastAsia" w:ascii="楷体_GB2312" w:hAnsi="楷体" w:eastAsia="楷体_GB2312"/>
          <w:sz w:val="32"/>
          <w:szCs w:val="32"/>
        </w:rPr>
        <w:t>日第</w:t>
      </w:r>
      <w:r>
        <w:rPr>
          <w:rFonts w:hint="eastAsia" w:ascii="楷体_GB2312" w:hAnsi="楷体" w:eastAsia="楷体_GB2312"/>
          <w:sz w:val="32"/>
          <w:szCs w:val="32"/>
          <w:lang w:val="en-US" w:eastAsia="zh-CN"/>
        </w:rPr>
        <w:t>16</w:t>
      </w:r>
      <w:r>
        <w:rPr>
          <w:rFonts w:hint="eastAsia" w:ascii="楷体_GB2312" w:hAnsi="楷体" w:eastAsia="楷体_GB2312"/>
          <w:sz w:val="32"/>
          <w:szCs w:val="32"/>
        </w:rPr>
        <w:t>次院长办公会讨</w:t>
      </w:r>
      <w:r>
        <w:rPr>
          <w:rFonts w:hint="eastAsia" w:ascii="楷体_GB2312" w:hAnsi="楷体" w:eastAsia="楷体_GB2312"/>
          <w:color w:val="000000"/>
          <w:sz w:val="32"/>
          <w:szCs w:val="32"/>
        </w:rPr>
        <w:t>论通过，现印发给你们，请认真遵照执行。</w:t>
      </w:r>
    </w:p>
    <w:p>
      <w:pPr>
        <w:spacing w:line="560" w:lineRule="exact"/>
      </w:pPr>
    </w:p>
    <w:p>
      <w:pPr>
        <w:spacing w:line="560" w:lineRule="exact"/>
      </w:pPr>
    </w:p>
    <w:p>
      <w:pPr>
        <w:spacing w:line="560" w:lineRule="exact"/>
        <w:ind w:firstLine="5120" w:firstLineChars="1600"/>
        <w:jc w:val="left"/>
        <w:rPr>
          <w:rFonts w:ascii="楷体_GB2312" w:hAnsi="楷体" w:eastAsia="楷体_GB2312"/>
          <w:color w:val="000000"/>
          <w:sz w:val="32"/>
          <w:szCs w:val="32"/>
        </w:rPr>
      </w:pPr>
      <w:r>
        <w:rPr>
          <w:rFonts w:hint="eastAsia" w:ascii="楷体_GB2312" w:hAnsi="楷体" w:eastAsia="楷体_GB2312"/>
          <w:color w:val="000000"/>
          <w:sz w:val="32"/>
          <w:szCs w:val="32"/>
        </w:rPr>
        <w:t>北京青年政治学院</w:t>
      </w:r>
    </w:p>
    <w:p>
      <w:pPr>
        <w:tabs>
          <w:tab w:val="center" w:pos="4423"/>
        </w:tabs>
        <w:wordWrap w:val="0"/>
        <w:spacing w:line="560" w:lineRule="exact"/>
        <w:ind w:firstLine="4480" w:firstLineChars="1400"/>
        <w:jc w:val="right"/>
        <w:rPr>
          <w:rFonts w:hint="default" w:ascii="楷体_GB2312" w:hAnsi="楷体" w:eastAsia="楷体_GB2312"/>
          <w:color w:val="000000"/>
          <w:sz w:val="32"/>
          <w:szCs w:val="32"/>
          <w:lang w:val="en-US" w:eastAsia="zh-CN"/>
        </w:rPr>
      </w:pPr>
      <w:r>
        <w:rPr>
          <w:rFonts w:hint="eastAsia" w:ascii="楷体_GB2312" w:hAnsi="楷体" w:eastAsia="楷体_GB2312"/>
          <w:color w:val="000000"/>
          <w:sz w:val="32"/>
          <w:szCs w:val="32"/>
          <w:lang w:val="en-US" w:eastAsia="zh-CN"/>
        </w:rPr>
        <w:t xml:space="preserve">     </w:t>
      </w:r>
      <w:r>
        <w:rPr>
          <w:rFonts w:hint="eastAsia" w:ascii="楷体_GB2312" w:hAnsi="楷体" w:eastAsia="楷体_GB2312"/>
          <w:color w:val="000000"/>
          <w:sz w:val="32"/>
          <w:szCs w:val="32"/>
        </w:rPr>
        <w:t>202</w:t>
      </w:r>
      <w:r>
        <w:rPr>
          <w:rFonts w:hint="eastAsia" w:ascii="楷体_GB2312" w:hAnsi="楷体" w:eastAsia="楷体_GB2312"/>
          <w:color w:val="000000"/>
          <w:sz w:val="32"/>
          <w:szCs w:val="32"/>
          <w:lang w:val="en-US" w:eastAsia="zh-CN"/>
        </w:rPr>
        <w:t>5</w:t>
      </w:r>
      <w:r>
        <w:rPr>
          <w:rFonts w:hint="eastAsia" w:ascii="楷体_GB2312" w:hAnsi="楷体" w:eastAsia="楷体_GB2312"/>
          <w:color w:val="000000"/>
          <w:sz w:val="32"/>
          <w:szCs w:val="32"/>
        </w:rPr>
        <w:t>年</w:t>
      </w:r>
      <w:r>
        <w:rPr>
          <w:rFonts w:hint="eastAsia" w:ascii="楷体_GB2312" w:hAnsi="楷体" w:eastAsia="楷体_GB2312"/>
          <w:color w:val="000000"/>
          <w:sz w:val="32"/>
          <w:szCs w:val="32"/>
          <w:lang w:val="en-US" w:eastAsia="zh-CN"/>
        </w:rPr>
        <w:t>7</w:t>
      </w:r>
      <w:r>
        <w:rPr>
          <w:rFonts w:hint="eastAsia" w:ascii="楷体_GB2312" w:hAnsi="楷体" w:eastAsia="楷体_GB2312"/>
          <w:color w:val="000000"/>
          <w:sz w:val="32"/>
          <w:szCs w:val="32"/>
        </w:rPr>
        <w:t>月</w:t>
      </w:r>
      <w:r>
        <w:rPr>
          <w:rFonts w:hint="eastAsia" w:ascii="楷体_GB2312" w:hAnsi="楷体" w:eastAsia="楷体_GB2312"/>
          <w:color w:val="000000"/>
          <w:sz w:val="32"/>
          <w:szCs w:val="32"/>
          <w:lang w:val="en-US" w:eastAsia="zh-CN"/>
        </w:rPr>
        <w:t>3</w:t>
      </w:r>
      <w:r>
        <w:rPr>
          <w:rFonts w:hint="eastAsia" w:ascii="楷体_GB2312" w:hAnsi="楷体" w:eastAsia="楷体_GB2312"/>
          <w:color w:val="000000"/>
          <w:sz w:val="32"/>
          <w:szCs w:val="32"/>
        </w:rPr>
        <w:t>日</w:t>
      </w:r>
      <w:r>
        <w:rPr>
          <w:rFonts w:hint="eastAsia" w:ascii="楷体_GB2312" w:hAnsi="楷体" w:eastAsia="楷体_GB2312"/>
          <w:color w:val="000000"/>
          <w:sz w:val="32"/>
          <w:szCs w:val="32"/>
          <w:lang w:val="en-US" w:eastAsia="zh-CN"/>
        </w:rPr>
        <w:t xml:space="preserve">           </w:t>
      </w:r>
    </w:p>
    <w:p>
      <w:pPr>
        <w:tabs>
          <w:tab w:val="center" w:pos="4423"/>
        </w:tabs>
        <w:spacing w:line="560" w:lineRule="exact"/>
        <w:ind w:firstLine="6160" w:firstLineChars="1400"/>
        <w:jc w:val="right"/>
        <w:rPr>
          <w:rFonts w:ascii="黑体" w:hAnsi="黑体" w:eastAsia="黑体"/>
          <w:sz w:val="32"/>
          <w:szCs w:val="32"/>
        </w:rPr>
      </w:pPr>
      <w:r>
        <w:rPr>
          <w:rFonts w:hint="eastAsia" w:ascii="方正小标宋简体" w:hAnsi="华文中宋" w:eastAsia="方正小标宋简体" w:cs="Times New Roman"/>
          <w:color w:val="000000"/>
          <w:sz w:val="44"/>
          <w:szCs w:val="44"/>
        </w:rPr>
        <w:br w:type="page"/>
      </w:r>
    </w:p>
    <w:p>
      <w:pPr>
        <w:keepNext w:val="0"/>
        <w:keepLines w:val="0"/>
        <w:pageBreakBefore w:val="0"/>
        <w:widowControl/>
        <w:kinsoku/>
        <w:wordWrap/>
        <w:overflowPunct/>
        <w:topLinePunct w:val="0"/>
        <w:autoSpaceDE w:val="0"/>
        <w:autoSpaceDN w:val="0"/>
        <w:bidi w:val="0"/>
        <w:adjustRightInd w:val="0"/>
        <w:snapToGrid/>
        <w:spacing w:line="560" w:lineRule="exact"/>
        <w:jc w:val="center"/>
        <w:textAlignment w:val="auto"/>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北京青年政治学院</w:t>
      </w:r>
    </w:p>
    <w:p>
      <w:pPr>
        <w:keepNext w:val="0"/>
        <w:keepLines w:val="0"/>
        <w:pageBreakBefore w:val="0"/>
        <w:widowControl/>
        <w:suppressLineNumbers w:val="0"/>
        <w:kinsoku/>
        <w:wordWrap/>
        <w:overflowPunct/>
        <w:topLinePunct w:val="0"/>
        <w:autoSpaceDE w:val="0"/>
        <w:autoSpaceDN w:val="0"/>
        <w:bidi w:val="0"/>
        <w:adjustRightInd w:val="0"/>
        <w:snapToGrid/>
        <w:spacing w:line="560" w:lineRule="exact"/>
        <w:jc w:val="center"/>
        <w:textAlignment w:val="auto"/>
        <w:rPr>
          <w:rFonts w:hint="eastAsia" w:ascii="Calibri" w:hAnsi="Calibri" w:eastAsia="宋体" w:cs="宋体"/>
          <w:kern w:val="2"/>
          <w:sz w:val="21"/>
          <w:szCs w:val="22"/>
          <w:lang w:val="en-US" w:eastAsia="zh-CN" w:bidi="ar"/>
        </w:rPr>
      </w:pPr>
      <w:r>
        <w:rPr>
          <w:rFonts w:hint="eastAsia" w:ascii="方正小标宋简体" w:hAnsi="宋体" w:eastAsia="方正小标宋简体" w:cs="宋体"/>
          <w:bCs/>
          <w:kern w:val="0"/>
          <w:sz w:val="44"/>
          <w:szCs w:val="44"/>
        </w:rPr>
        <w:t>国家助学贷款奖补资金使用细则</w:t>
      </w:r>
    </w:p>
    <w:p>
      <w:pPr>
        <w:keepNext w:val="0"/>
        <w:keepLines w:val="0"/>
        <w:pageBreakBefore w:val="0"/>
        <w:widowControl/>
        <w:suppressLineNumbers w:val="0"/>
        <w:kinsoku/>
        <w:wordWrap/>
        <w:overflowPunct/>
        <w:topLinePunct w:val="0"/>
        <w:autoSpaceDE/>
        <w:autoSpaceDN/>
        <w:bidi w:val="0"/>
        <w:adjustRightInd/>
        <w:snapToGrid/>
        <w:spacing w:before="313" w:beforeLines="100" w:after="313" w:afterLines="100" w:line="560" w:lineRule="exact"/>
        <w:jc w:val="center"/>
        <w:textAlignment w:val="auto"/>
        <w:rPr>
          <w:rStyle w:val="9"/>
          <w:rFonts w:hint="eastAsia" w:ascii="仿宋_GB2312" w:hAnsi="仿宋_GB2312" w:eastAsia="仿宋_GB2312" w:cs="仿宋_GB2312"/>
          <w:b w:val="0"/>
          <w:bCs w:val="0"/>
          <w:color w:val="000000"/>
          <w:sz w:val="32"/>
          <w:szCs w:val="32"/>
          <w:lang w:val="en-US" w:eastAsia="zh-CN" w:bidi="ar-SA"/>
        </w:rPr>
      </w:pPr>
      <w:r>
        <w:rPr>
          <w:rFonts w:hint="eastAsia" w:ascii="仿宋_GB2312" w:hAnsi="仿宋_GB2312" w:eastAsia="仿宋_GB2312" w:cs="仿宋_GB2312"/>
          <w:sz w:val="32"/>
          <w:szCs w:val="32"/>
          <w:lang w:val="en-US" w:eastAsia="zh-CN"/>
        </w:rPr>
        <w:t xml:space="preserve">（2017年6月6日第9次院长办公会会议通过  2017年6月14日发布  2022年5月26日院长办公会第11次会议第1次修订2022年6月7日发布  </w:t>
      </w:r>
      <w:r>
        <w:rPr>
          <w:rStyle w:val="9"/>
          <w:rFonts w:hint="eastAsia" w:ascii="仿宋_GB2312" w:hAnsi="仿宋_GB2312" w:eastAsia="仿宋_GB2312" w:cs="仿宋_GB2312"/>
          <w:b w:val="0"/>
          <w:bCs w:val="0"/>
          <w:color w:val="000000"/>
          <w:sz w:val="32"/>
          <w:szCs w:val="32"/>
          <w:lang w:val="en-US" w:eastAsia="zh-CN" w:bidi="ar-SA"/>
        </w:rPr>
        <w:t>2025年6月20日院长办公会第16次会议第2次修订  2025年7月3日发布</w:t>
      </w:r>
      <w:r>
        <w:rPr>
          <w:rFonts w:hint="eastAsia" w:ascii="仿宋_GB2312" w:hAnsi="仿宋_GB2312" w:eastAsia="仿宋_GB2312" w:cs="仿宋_GB2312"/>
          <w:sz w:val="32"/>
          <w:szCs w:val="32"/>
          <w:lang w:val="en-US" w:eastAsia="zh-CN"/>
        </w:rPr>
        <w:t>）</w:t>
      </w:r>
    </w:p>
    <w:p>
      <w:pPr>
        <w:keepNext w:val="0"/>
        <w:keepLines w:val="0"/>
        <w:pageBreakBefore w:val="0"/>
        <w:kinsoku/>
        <w:wordWrap/>
        <w:overflowPunct/>
        <w:topLinePunct w:val="0"/>
        <w:bidi w:val="0"/>
        <w:snapToGrid/>
        <w:spacing w:line="560" w:lineRule="exact"/>
        <w:jc w:val="center"/>
        <w:textAlignment w:val="auto"/>
        <w:rPr>
          <w:rFonts w:hint="eastAsia" w:ascii="仿宋_GB2312" w:hAnsi="楷体" w:eastAsia="仿宋_GB2312" w:cs="Times New Roman"/>
          <w:bCs w:val="0"/>
          <w:kern w:val="2"/>
          <w:sz w:val="32"/>
          <w:szCs w:val="32"/>
        </w:rPr>
      </w:pPr>
      <w:r>
        <w:rPr>
          <w:rFonts w:hint="eastAsia" w:ascii="黑体" w:eastAsia="黑体"/>
          <w:sz w:val="32"/>
          <w:szCs w:val="32"/>
        </w:rPr>
        <w:t>一</w:t>
      </w:r>
      <w:r>
        <w:rPr>
          <w:rFonts w:hint="eastAsia" w:ascii="黑体" w:eastAsia="黑体"/>
          <w:sz w:val="32"/>
          <w:szCs w:val="32"/>
          <w:lang w:eastAsia="zh-CN"/>
        </w:rPr>
        <w:t>、</w:t>
      </w:r>
      <w:r>
        <w:rPr>
          <w:rFonts w:hint="eastAsia" w:ascii="黑体" w:eastAsia="黑体"/>
          <w:sz w:val="32"/>
          <w:szCs w:val="32"/>
        </w:rPr>
        <w:t>总则</w:t>
      </w:r>
    </w:p>
    <w:p>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rPr>
        <w:t>为充分发挥国家助学贷款奖补资金（以下简称“奖补资金”）的使用效益，提高资金使用的规范性和科学性，使我院家庭经济困难学生安心学习，顺利完成学业，根据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北京市国家助学贷款奖补资金使用细则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京教资财〔2023〕1号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文件精神，结合学院实际情况，修订本细则。</w:t>
      </w:r>
    </w:p>
    <w:p>
      <w:pPr>
        <w:keepNext w:val="0"/>
        <w:keepLines w:val="0"/>
        <w:pageBreakBefore w:val="0"/>
        <w:kinsoku/>
        <w:wordWrap/>
        <w:overflowPunct/>
        <w:topLinePunct w:val="0"/>
        <w:bidi w:val="0"/>
        <w:snapToGrid/>
        <w:spacing w:line="560" w:lineRule="exact"/>
        <w:ind w:firstLine="0" w:firstLineChars="0"/>
        <w:jc w:val="center"/>
        <w:textAlignment w:val="auto"/>
        <w:rPr>
          <w:rFonts w:hint="eastAsia" w:ascii="仿宋_GB2312" w:hAnsi="仿宋_GB2312" w:eastAsia="仿宋_GB2312" w:cs="仿宋_GB2312"/>
          <w:sz w:val="32"/>
          <w:szCs w:val="32"/>
        </w:rPr>
      </w:pPr>
      <w:r>
        <w:rPr>
          <w:rFonts w:hint="eastAsia" w:ascii="黑体" w:eastAsia="黑体"/>
          <w:sz w:val="32"/>
          <w:szCs w:val="32"/>
          <w:lang w:val="en-US" w:eastAsia="zh-CN"/>
        </w:rPr>
        <w:t>二、</w:t>
      </w:r>
      <w:r>
        <w:rPr>
          <w:rFonts w:hint="eastAsia" w:ascii="黑体" w:eastAsia="黑体"/>
          <w:sz w:val="32"/>
          <w:szCs w:val="32"/>
          <w:lang w:eastAsia="zh-CN"/>
        </w:rPr>
        <w:t>管理机构及职责</w:t>
      </w:r>
    </w:p>
    <w:p>
      <w:pPr>
        <w:keepNext w:val="0"/>
        <w:keepLines w:val="0"/>
        <w:pageBreakBefore w:val="0"/>
        <w:numPr>
          <w:ilvl w:val="0"/>
          <w:numId w:val="1"/>
        </w:numPr>
        <w:kinsoku/>
        <w:wordWrap/>
        <w:overflowPunct/>
        <w:topLinePunct w:val="0"/>
        <w:bidi w:val="0"/>
        <w:snapToGrid/>
        <w:spacing w:line="560" w:lineRule="exact"/>
        <w:ind w:firstLine="640" w:firstLineChars="200"/>
        <w:textAlignment w:val="auto"/>
        <w:rPr>
          <w:rFonts w:ascii="仿宋_GB2312" w:hAnsi="仿宋" w:eastAsia="仿宋_GB2312"/>
          <w:sz w:val="32"/>
          <w:szCs w:val="32"/>
        </w:rPr>
      </w:pPr>
      <w:r>
        <w:rPr>
          <w:rFonts w:hint="eastAsia" w:ascii="仿宋_GB2312" w:hAnsi="仿宋_GB2312" w:eastAsia="仿宋_GB2312" w:cs="仿宋_GB2312"/>
          <w:sz w:val="32"/>
          <w:szCs w:val="32"/>
          <w:lang w:eastAsia="zh-CN"/>
        </w:rPr>
        <w:t xml:space="preserve"> </w:t>
      </w:r>
      <w:r>
        <w:rPr>
          <w:rFonts w:hint="eastAsia" w:ascii="仿宋_GB2312" w:hAnsi="仿宋" w:eastAsia="仿宋_GB2312"/>
          <w:sz w:val="32"/>
          <w:szCs w:val="32"/>
          <w:highlight w:val="none"/>
        </w:rPr>
        <w:t>学生资助管理中心</w:t>
      </w:r>
      <w:r>
        <w:rPr>
          <w:rFonts w:hint="eastAsia" w:ascii="仿宋_GB2312" w:hAnsi="仿宋" w:eastAsia="仿宋_GB2312"/>
          <w:sz w:val="32"/>
          <w:szCs w:val="32"/>
        </w:rPr>
        <w:t>根据北京市学生资助事务管理中心拨款数额制定当年用款分配方案，负责奖补资金的使用和管理。</w:t>
      </w:r>
    </w:p>
    <w:p>
      <w:pPr>
        <w:keepNext w:val="0"/>
        <w:keepLines w:val="0"/>
        <w:pageBreakBefore w:val="0"/>
        <w:numPr>
          <w:ilvl w:val="0"/>
          <w:numId w:val="1"/>
        </w:numPr>
        <w:kinsoku/>
        <w:wordWrap/>
        <w:overflowPunct/>
        <w:topLinePunct w:val="0"/>
        <w:bidi w:val="0"/>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学院对奖补资金单独分账核算，专款专用。</w:t>
      </w:r>
      <w:r>
        <w:rPr>
          <w:rFonts w:hint="eastAsia" w:ascii="仿宋_GB2312" w:hAnsi="仿宋" w:eastAsia="仿宋_GB2312"/>
          <w:sz w:val="32"/>
          <w:szCs w:val="32"/>
          <w:highlight w:val="none"/>
        </w:rPr>
        <w:t>学生资助管理中心</w:t>
      </w:r>
      <w:r>
        <w:rPr>
          <w:rFonts w:hint="eastAsia" w:ascii="仿宋_GB2312" w:hAnsi="仿宋" w:eastAsia="仿宋_GB2312"/>
          <w:sz w:val="32"/>
          <w:szCs w:val="32"/>
        </w:rPr>
        <w:t>负责编制奖补资金使用方案，财务部门负责奖补资金的收支管理。</w:t>
      </w:r>
    </w:p>
    <w:p>
      <w:pPr>
        <w:keepNext w:val="0"/>
        <w:keepLines w:val="0"/>
        <w:pageBreakBefore w:val="0"/>
        <w:kinsoku/>
        <w:wordWrap/>
        <w:overflowPunct/>
        <w:topLinePunct w:val="0"/>
        <w:bidi w:val="0"/>
        <w:snapToGrid/>
        <w:spacing w:line="560" w:lineRule="exact"/>
        <w:ind w:firstLine="0" w:firstLineChars="0"/>
        <w:jc w:val="center"/>
        <w:textAlignment w:val="auto"/>
        <w:rPr>
          <w:rFonts w:hint="eastAsia" w:ascii="仿宋_GB2312" w:hAnsi="仿宋" w:eastAsia="仿宋_GB2312"/>
          <w:sz w:val="32"/>
          <w:szCs w:val="32"/>
        </w:rPr>
      </w:pPr>
      <w:r>
        <w:rPr>
          <w:rFonts w:hint="eastAsia" w:ascii="黑体" w:eastAsia="黑体"/>
          <w:sz w:val="32"/>
          <w:szCs w:val="32"/>
          <w:lang w:val="en-US" w:eastAsia="zh-CN"/>
        </w:rPr>
        <w:t>三、</w:t>
      </w:r>
      <w:r>
        <w:rPr>
          <w:rFonts w:hint="eastAsia" w:ascii="黑体" w:eastAsia="黑体"/>
          <w:sz w:val="32"/>
          <w:szCs w:val="32"/>
          <w:lang w:eastAsia="zh-CN"/>
        </w:rPr>
        <w:t>使用范围</w:t>
      </w:r>
    </w:p>
    <w:p>
      <w:pPr>
        <w:keepNext w:val="0"/>
        <w:keepLines w:val="0"/>
        <w:pageBreakBefore w:val="0"/>
        <w:numPr>
          <w:ilvl w:val="0"/>
          <w:numId w:val="1"/>
        </w:numPr>
        <w:kinsoku/>
        <w:wordWrap/>
        <w:overflowPunct/>
        <w:topLinePunct w:val="0"/>
        <w:bidi w:val="0"/>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sz w:val="32"/>
          <w:szCs w:val="32"/>
          <w:lang w:eastAsia="zh-CN"/>
        </w:rPr>
        <w:t xml:space="preserve"> </w:t>
      </w:r>
      <w:r>
        <w:rPr>
          <w:rFonts w:hint="eastAsia" w:ascii="仿宋_GB2312" w:hAnsi="仿宋" w:eastAsia="仿宋_GB2312"/>
          <w:sz w:val="32"/>
          <w:szCs w:val="32"/>
        </w:rPr>
        <w:t>家庭经济困难或符合下列要求学生的生活补助。一是家庭经济困难学生的生活补助；二是因疫情汛情、突发事件、重大疾病等特殊情况导致家庭发生临时经济困难学生的生活补助。</w:t>
      </w:r>
    </w:p>
    <w:p>
      <w:pPr>
        <w:keepNext w:val="0"/>
        <w:keepLines w:val="0"/>
        <w:pageBreakBefore w:val="0"/>
        <w:kinsoku/>
        <w:wordWrap/>
        <w:overflowPunct/>
        <w:topLinePunct w:val="0"/>
        <w:bidi w:val="0"/>
        <w:snapToGrid/>
        <w:spacing w:line="560" w:lineRule="exact"/>
        <w:ind w:firstLine="643" w:firstLineChars="200"/>
        <w:textAlignment w:val="auto"/>
        <w:rPr>
          <w:rFonts w:hint="eastAsia" w:ascii="仿宋_GB2312" w:hAnsi="仿宋" w:eastAsia="仿宋_GB2312"/>
          <w:sz w:val="32"/>
          <w:szCs w:val="32"/>
        </w:rPr>
      </w:pPr>
      <w:r>
        <w:rPr>
          <w:rFonts w:hint="eastAsia" w:ascii="仿宋_GB2312" w:hAnsi="仿宋" w:eastAsia="仿宋_GB2312"/>
          <w:b/>
          <w:bCs/>
          <w:sz w:val="32"/>
          <w:szCs w:val="32"/>
          <w:lang w:eastAsia="zh-CN"/>
        </w:rPr>
        <w:t>第五条</w:t>
      </w:r>
      <w:r>
        <w:rPr>
          <w:rFonts w:hint="eastAsia" w:ascii="仿宋_GB2312" w:hAnsi="仿宋" w:eastAsia="仿宋_GB2312"/>
          <w:b/>
          <w:bCs/>
          <w:sz w:val="32"/>
          <w:szCs w:val="32"/>
          <w:lang w:val="en-US" w:eastAsia="zh-CN"/>
        </w:rPr>
        <w:t xml:space="preserve">  </w:t>
      </w:r>
      <w:r>
        <w:rPr>
          <w:rFonts w:hint="eastAsia" w:ascii="仿宋_GB2312" w:hAnsi="仿宋" w:eastAsia="仿宋_GB2312"/>
          <w:sz w:val="32"/>
          <w:szCs w:val="32"/>
        </w:rPr>
        <w:t>家庭经济困难学生参加资助育人、学科竞赛等相关活动的奖励或补助。家庭经济困难学生参加各级资助育人、学科竞赛活动，符合活动要求的，可获得一定的奖励或补助。</w:t>
      </w:r>
    </w:p>
    <w:p>
      <w:pPr>
        <w:keepNext w:val="0"/>
        <w:keepLines w:val="0"/>
        <w:pageBreakBefore w:val="0"/>
        <w:kinsoku/>
        <w:wordWrap/>
        <w:overflowPunct/>
        <w:topLinePunct w:val="0"/>
        <w:bidi w:val="0"/>
        <w:snapToGrid/>
        <w:spacing w:line="560" w:lineRule="exact"/>
        <w:ind w:firstLine="643" w:firstLineChars="200"/>
        <w:textAlignment w:val="auto"/>
        <w:rPr>
          <w:rFonts w:hint="eastAsia" w:ascii="仿宋_GB2312" w:hAnsi="仿宋" w:eastAsia="仿宋_GB2312"/>
          <w:sz w:val="32"/>
          <w:szCs w:val="32"/>
        </w:rPr>
      </w:pPr>
      <w:r>
        <w:rPr>
          <w:rFonts w:hint="eastAsia" w:ascii="仿宋_GB2312" w:hAnsi="仿宋" w:eastAsia="仿宋_GB2312"/>
          <w:b/>
          <w:bCs/>
          <w:sz w:val="32"/>
          <w:szCs w:val="32"/>
          <w:lang w:eastAsia="zh-CN"/>
        </w:rPr>
        <w:t>第六条</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家庭经济困难学生就业创业奖励资金、培训实践资助资金。一是家庭经济困难学生创新创业的奖励资金；二是家庭经济困难学生参加国内外学习培训、社会实践项目的资助资金；三是内地家庭经济困难学生赴新疆、西藏就业的奖励资金。</w:t>
      </w:r>
    </w:p>
    <w:p>
      <w:pPr>
        <w:keepNext w:val="0"/>
        <w:keepLines w:val="0"/>
        <w:pageBreakBefore w:val="0"/>
        <w:kinsoku/>
        <w:wordWrap/>
        <w:overflowPunct/>
        <w:topLinePunct w:val="0"/>
        <w:bidi w:val="0"/>
        <w:snapToGrid/>
        <w:spacing w:line="560" w:lineRule="exact"/>
        <w:ind w:firstLine="643" w:firstLineChars="200"/>
        <w:textAlignment w:val="auto"/>
        <w:rPr>
          <w:rFonts w:ascii="仿宋_GB2312" w:hAnsi="仿宋" w:eastAsia="仿宋_GB2312"/>
          <w:sz w:val="32"/>
          <w:szCs w:val="32"/>
        </w:rPr>
      </w:pPr>
      <w:r>
        <w:rPr>
          <w:rFonts w:hint="eastAsia" w:ascii="仿宋_GB2312" w:hAnsi="仿宋" w:eastAsia="仿宋_GB2312"/>
          <w:b/>
          <w:bCs/>
          <w:sz w:val="32"/>
          <w:szCs w:val="32"/>
          <w:lang w:eastAsia="zh-CN"/>
        </w:rPr>
        <w:t>第七条</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其他特殊情况的家庭经济困难学生的奖励或补助，经</w:t>
      </w:r>
      <w:r>
        <w:rPr>
          <w:rFonts w:hint="eastAsia" w:ascii="仿宋_GB2312" w:hAnsi="仿宋" w:eastAsia="仿宋_GB2312"/>
          <w:sz w:val="32"/>
          <w:szCs w:val="32"/>
          <w:lang w:val="en-US" w:eastAsia="zh-CN"/>
        </w:rPr>
        <w:t>学院</w:t>
      </w:r>
      <w:r>
        <w:rPr>
          <w:rFonts w:hint="eastAsia" w:ascii="仿宋_GB2312" w:hAnsi="仿宋" w:eastAsia="仿宋_GB2312"/>
          <w:sz w:val="32"/>
          <w:szCs w:val="32"/>
        </w:rPr>
        <w:t>各级审核通过后方可使用。</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 xml:space="preserve"> 有与上述</w:t>
      </w:r>
      <w:r>
        <w:rPr>
          <w:rFonts w:hint="eastAsia" w:ascii="仿宋_GB2312" w:hAnsi="仿宋" w:eastAsia="仿宋_GB2312"/>
          <w:sz w:val="32"/>
          <w:szCs w:val="32"/>
          <w:lang w:eastAsia="zh-CN"/>
        </w:rPr>
        <w:t>五、六、七</w:t>
      </w:r>
      <w:r>
        <w:rPr>
          <w:rFonts w:hint="eastAsia" w:ascii="仿宋_GB2312" w:hAnsi="仿宋" w:eastAsia="仿宋_GB2312"/>
          <w:sz w:val="32"/>
          <w:szCs w:val="32"/>
        </w:rPr>
        <w:t>条相同项目，不再重复享受。</w:t>
      </w:r>
    </w:p>
    <w:p>
      <w:pPr>
        <w:keepNext w:val="0"/>
        <w:keepLines w:val="0"/>
        <w:pageBreakBefore w:val="0"/>
        <w:kinsoku/>
        <w:wordWrap/>
        <w:overflowPunct/>
        <w:topLinePunct w:val="0"/>
        <w:bidi w:val="0"/>
        <w:snapToGrid/>
        <w:spacing w:line="560" w:lineRule="exact"/>
        <w:ind w:firstLine="0" w:firstLineChars="0"/>
        <w:jc w:val="center"/>
        <w:textAlignment w:val="auto"/>
        <w:rPr>
          <w:rFonts w:hint="eastAsia" w:ascii="仿宋_GB2312" w:hAnsi="仿宋" w:eastAsia="仿宋_GB2312"/>
          <w:sz w:val="32"/>
          <w:szCs w:val="32"/>
        </w:rPr>
      </w:pPr>
      <w:r>
        <w:rPr>
          <w:rFonts w:hint="eastAsia" w:ascii="黑体" w:eastAsia="黑体"/>
          <w:sz w:val="32"/>
          <w:szCs w:val="32"/>
          <w:lang w:val="en-US" w:eastAsia="zh-CN"/>
        </w:rPr>
        <w:t>四、</w:t>
      </w:r>
      <w:r>
        <w:rPr>
          <w:rFonts w:hint="eastAsia" w:ascii="黑体" w:eastAsia="黑体"/>
          <w:sz w:val="32"/>
          <w:szCs w:val="32"/>
          <w:lang w:eastAsia="zh-CN"/>
        </w:rPr>
        <w:t>资助标准</w:t>
      </w:r>
    </w:p>
    <w:p>
      <w:pPr>
        <w:keepNext w:val="0"/>
        <w:keepLines w:val="0"/>
        <w:pageBreakBefore w:val="0"/>
        <w:numPr>
          <w:ilvl w:val="-1"/>
          <w:numId w:val="0"/>
        </w:numPr>
        <w:kinsoku/>
        <w:wordWrap/>
        <w:overflowPunct/>
        <w:topLinePunct w:val="0"/>
        <w:bidi w:val="0"/>
        <w:snapToGrid/>
        <w:spacing w:line="560" w:lineRule="exact"/>
        <w:ind w:firstLine="643" w:firstLineChars="200"/>
        <w:textAlignment w:val="auto"/>
        <w:rPr>
          <w:rFonts w:hint="default" w:ascii="仿宋_GB2312" w:hAnsi="仿宋" w:eastAsia="仿宋_GB2312"/>
          <w:sz w:val="32"/>
          <w:szCs w:val="32"/>
          <w:lang w:val="en-US" w:eastAsia="zh-CN"/>
        </w:rPr>
      </w:pPr>
      <w:r>
        <w:rPr>
          <w:rFonts w:hint="eastAsia" w:ascii="仿宋_GB2312" w:hAnsi="仿宋_GB2312" w:eastAsia="仿宋_GB2312" w:cs="仿宋_GB2312"/>
          <w:b/>
          <w:bCs/>
          <w:sz w:val="32"/>
          <w:szCs w:val="32"/>
          <w:lang w:eastAsia="zh-CN"/>
        </w:rPr>
        <w:t>第八条</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 w:eastAsia="仿宋_GB2312"/>
          <w:sz w:val="32"/>
          <w:szCs w:val="32"/>
          <w:lang w:eastAsia="zh-CN"/>
        </w:rPr>
        <w:t>家庭经济困难学生生活补助，每人每年不超过</w:t>
      </w:r>
      <w:r>
        <w:rPr>
          <w:rFonts w:hint="eastAsia" w:ascii="仿宋_GB2312" w:hAnsi="仿宋" w:eastAsia="仿宋_GB2312"/>
          <w:sz w:val="32"/>
          <w:szCs w:val="32"/>
          <w:lang w:val="en-US" w:eastAsia="zh-CN"/>
        </w:rPr>
        <w:t>1000元，</w:t>
      </w:r>
      <w:r>
        <w:rPr>
          <w:rFonts w:hint="eastAsia" w:ascii="仿宋_GB2312" w:hAnsi="仿宋" w:eastAsia="仿宋_GB2312"/>
          <w:sz w:val="32"/>
          <w:szCs w:val="32"/>
          <w:lang w:eastAsia="zh-CN"/>
        </w:rPr>
        <w:t>例如“冬衣补贴”人均</w:t>
      </w:r>
      <w:r>
        <w:rPr>
          <w:rFonts w:hint="eastAsia" w:ascii="仿宋_GB2312" w:hAnsi="仿宋" w:eastAsia="仿宋_GB2312"/>
          <w:sz w:val="32"/>
          <w:szCs w:val="32"/>
          <w:lang w:val="en-US" w:eastAsia="zh-CN"/>
        </w:rPr>
        <w:t>200元；</w:t>
      </w:r>
      <w:r>
        <w:rPr>
          <w:rFonts w:hint="eastAsia" w:ascii="仿宋_GB2312" w:hAnsi="仿宋" w:eastAsia="仿宋_GB2312"/>
          <w:sz w:val="32"/>
          <w:szCs w:val="32"/>
          <w:lang w:eastAsia="zh-CN"/>
        </w:rPr>
        <w:t>“毕业生求职生活补贴”人均</w:t>
      </w:r>
      <w:r>
        <w:rPr>
          <w:rFonts w:hint="eastAsia" w:ascii="仿宋_GB2312" w:hAnsi="仿宋" w:eastAsia="仿宋_GB2312"/>
          <w:sz w:val="32"/>
          <w:szCs w:val="32"/>
          <w:lang w:val="en-US" w:eastAsia="zh-CN"/>
        </w:rPr>
        <w:t>400元</w:t>
      </w:r>
      <w:r>
        <w:rPr>
          <w:rFonts w:hint="eastAsia" w:ascii="仿宋_GB2312" w:hAnsi="仿宋" w:eastAsia="仿宋_GB2312"/>
          <w:sz w:val="32"/>
          <w:szCs w:val="32"/>
          <w:lang w:eastAsia="zh-CN"/>
        </w:rPr>
        <w:t>等</w:t>
      </w:r>
      <w:r>
        <w:rPr>
          <w:rFonts w:hint="eastAsia" w:ascii="仿宋_GB2312" w:hAnsi="仿宋" w:eastAsia="仿宋_GB2312"/>
          <w:sz w:val="32"/>
          <w:szCs w:val="32"/>
          <w:lang w:val="en-US" w:eastAsia="zh-CN"/>
        </w:rPr>
        <w:t>。</w:t>
      </w:r>
    </w:p>
    <w:p>
      <w:pPr>
        <w:keepNext w:val="0"/>
        <w:keepLines w:val="0"/>
        <w:pageBreakBefore w:val="0"/>
        <w:kinsoku/>
        <w:wordWrap/>
        <w:overflowPunct/>
        <w:topLinePunct w:val="0"/>
        <w:bidi w:val="0"/>
        <w:snapToGrid/>
        <w:spacing w:line="560" w:lineRule="exact"/>
        <w:ind w:firstLine="643" w:firstLineChars="200"/>
        <w:textAlignment w:val="auto"/>
        <w:rPr>
          <w:rFonts w:ascii="仿宋_GB2312" w:hAnsi="仿宋" w:eastAsia="仿宋_GB2312"/>
          <w:sz w:val="32"/>
          <w:szCs w:val="32"/>
        </w:rPr>
      </w:pPr>
      <w:r>
        <w:rPr>
          <w:rFonts w:hint="eastAsia" w:ascii="仿宋_GB2312" w:hAnsi="仿宋" w:eastAsia="仿宋_GB2312"/>
          <w:b/>
          <w:bCs/>
          <w:sz w:val="32"/>
          <w:szCs w:val="32"/>
          <w:lang w:eastAsia="zh-CN"/>
        </w:rPr>
        <w:t>第九条</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家庭经济困难学生以及因突发事件导致家庭发生临时性经济困难学生，根据学生的困难程度，按照《北京青年政治学院学生特殊困难补助实施办法》给予困难学生补助，每人每</w:t>
      </w:r>
      <w:r>
        <w:rPr>
          <w:rFonts w:hint="eastAsia" w:ascii="仿宋_GB2312" w:hAnsi="仿宋" w:eastAsia="仿宋_GB2312"/>
          <w:sz w:val="32"/>
          <w:szCs w:val="32"/>
          <w:lang w:eastAsia="zh-CN"/>
        </w:rPr>
        <w:t>学</w:t>
      </w:r>
      <w:r>
        <w:rPr>
          <w:rFonts w:hint="eastAsia" w:ascii="仿宋_GB2312" w:hAnsi="仿宋" w:eastAsia="仿宋_GB2312"/>
          <w:sz w:val="32"/>
          <w:szCs w:val="32"/>
        </w:rPr>
        <w:t>年补助标准最高不超过5000元。</w:t>
      </w:r>
    </w:p>
    <w:p>
      <w:pPr>
        <w:keepNext w:val="0"/>
        <w:keepLines w:val="0"/>
        <w:pageBreakBefore w:val="0"/>
        <w:kinsoku/>
        <w:wordWrap/>
        <w:overflowPunct/>
        <w:topLinePunct w:val="0"/>
        <w:bidi w:val="0"/>
        <w:snapToGrid/>
        <w:spacing w:line="560" w:lineRule="exact"/>
        <w:ind w:firstLine="643" w:firstLineChars="200"/>
        <w:textAlignment w:val="auto"/>
        <w:rPr>
          <w:rFonts w:hint="eastAsia" w:ascii="仿宋_GB2312" w:hAnsi="仿宋" w:eastAsia="仿宋_GB2312"/>
          <w:sz w:val="32"/>
          <w:szCs w:val="32"/>
        </w:rPr>
      </w:pPr>
      <w:r>
        <w:rPr>
          <w:rFonts w:hint="eastAsia" w:ascii="仿宋_GB2312" w:hAnsi="仿宋" w:eastAsia="仿宋_GB2312"/>
          <w:b/>
          <w:bCs/>
          <w:sz w:val="32"/>
          <w:szCs w:val="32"/>
          <w:lang w:eastAsia="zh-CN"/>
        </w:rPr>
        <w:t>第十条</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家庭经济困难学生参加资助育人、学科竞赛等相关活动的奖励或补助</w:t>
      </w:r>
      <w:r>
        <w:rPr>
          <w:rFonts w:hint="eastAsia" w:ascii="仿宋_GB2312" w:hAnsi="仿宋" w:eastAsia="仿宋_GB2312"/>
          <w:sz w:val="32"/>
          <w:szCs w:val="32"/>
          <w:lang w:eastAsia="zh-CN"/>
        </w:rPr>
        <w:t>；</w:t>
      </w:r>
      <w:r>
        <w:rPr>
          <w:rFonts w:hint="eastAsia" w:ascii="仿宋_GB2312" w:hAnsi="仿宋" w:eastAsia="仿宋_GB2312"/>
          <w:sz w:val="32"/>
          <w:szCs w:val="32"/>
        </w:rPr>
        <w:t>家庭经济困难学生创新创业的奖励资金</w:t>
      </w:r>
      <w:r>
        <w:rPr>
          <w:rFonts w:hint="eastAsia" w:ascii="仿宋_GB2312" w:hAnsi="仿宋" w:eastAsia="仿宋_GB2312"/>
          <w:sz w:val="32"/>
          <w:szCs w:val="32"/>
          <w:lang w:eastAsia="zh-CN"/>
        </w:rPr>
        <w:t>；</w:t>
      </w:r>
      <w:r>
        <w:rPr>
          <w:rFonts w:hint="eastAsia" w:ascii="仿宋_GB2312" w:hAnsi="仿宋" w:eastAsia="仿宋_GB2312"/>
          <w:sz w:val="32"/>
          <w:szCs w:val="32"/>
        </w:rPr>
        <w:t>家庭经济困难学生参加国内外学习培训、社会实践项目的资助资金</w:t>
      </w:r>
      <w:r>
        <w:rPr>
          <w:rFonts w:hint="eastAsia" w:ascii="仿宋_GB2312" w:hAnsi="仿宋" w:eastAsia="仿宋_GB2312"/>
          <w:sz w:val="32"/>
          <w:szCs w:val="32"/>
          <w:lang w:eastAsia="zh-CN"/>
        </w:rPr>
        <w:t>；</w:t>
      </w:r>
      <w:r>
        <w:rPr>
          <w:rFonts w:hint="eastAsia" w:ascii="仿宋_GB2312" w:hAnsi="仿宋" w:eastAsia="仿宋_GB2312"/>
          <w:sz w:val="32"/>
          <w:szCs w:val="32"/>
        </w:rPr>
        <w:t>内地家庭经济困难学生赴新疆、西藏就业的奖励资金的资助标准为每人不超过10000元。</w:t>
      </w:r>
    </w:p>
    <w:p>
      <w:pPr>
        <w:keepNext w:val="0"/>
        <w:keepLines w:val="0"/>
        <w:pageBreakBefore w:val="0"/>
        <w:kinsoku/>
        <w:wordWrap/>
        <w:overflowPunct/>
        <w:topLinePunct w:val="0"/>
        <w:bidi w:val="0"/>
        <w:snapToGrid/>
        <w:spacing w:line="560" w:lineRule="exact"/>
        <w:ind w:firstLine="0" w:firstLineChars="0"/>
        <w:jc w:val="center"/>
        <w:textAlignment w:val="auto"/>
        <w:rPr>
          <w:rFonts w:hint="eastAsia" w:ascii="仿宋_GB2312" w:hAnsi="仿宋" w:eastAsia="仿宋_GB2312"/>
          <w:sz w:val="32"/>
          <w:szCs w:val="32"/>
        </w:rPr>
      </w:pPr>
      <w:r>
        <w:rPr>
          <w:rFonts w:hint="eastAsia" w:ascii="黑体" w:eastAsia="黑体"/>
          <w:sz w:val="32"/>
          <w:szCs w:val="32"/>
          <w:lang w:val="en-US" w:eastAsia="zh-CN"/>
        </w:rPr>
        <w:t>五、</w:t>
      </w:r>
      <w:r>
        <w:rPr>
          <w:rFonts w:hint="eastAsia" w:ascii="黑体" w:eastAsia="黑体"/>
          <w:sz w:val="32"/>
          <w:szCs w:val="32"/>
          <w:lang w:eastAsia="zh-CN"/>
        </w:rPr>
        <w:t>监督和管理</w:t>
      </w:r>
    </w:p>
    <w:p>
      <w:pPr>
        <w:keepNext w:val="0"/>
        <w:keepLines w:val="0"/>
        <w:pageBreakBefore w:val="0"/>
        <w:kinsoku/>
        <w:wordWrap/>
        <w:overflowPunct/>
        <w:topLinePunct w:val="0"/>
        <w:bidi w:val="0"/>
        <w:snapToGrid/>
        <w:spacing w:line="560" w:lineRule="exact"/>
        <w:ind w:firstLine="643" w:firstLineChars="200"/>
        <w:textAlignment w:val="auto"/>
        <w:rPr>
          <w:rFonts w:hint="default" w:ascii="仿宋_GB2312" w:hAnsi="仿宋" w:eastAsia="仿宋_GB2312"/>
          <w:sz w:val="32"/>
          <w:szCs w:val="32"/>
          <w:lang w:val="en-US" w:eastAsia="zh-CN"/>
        </w:rPr>
      </w:pPr>
      <w:r>
        <w:rPr>
          <w:rFonts w:hint="eastAsia" w:ascii="仿宋_GB2312" w:hAnsi="仿宋" w:eastAsia="仿宋_GB2312"/>
          <w:b/>
          <w:bCs/>
          <w:sz w:val="32"/>
          <w:szCs w:val="32"/>
          <w:lang w:val="en-US" w:eastAsia="zh-CN"/>
        </w:rPr>
        <w:t>第十一条</w:t>
      </w:r>
      <w:r>
        <w:rPr>
          <w:rFonts w:hint="eastAsia" w:ascii="仿宋_GB2312" w:hAnsi="仿宋" w:eastAsia="仿宋_GB2312"/>
          <w:sz w:val="32"/>
          <w:szCs w:val="32"/>
          <w:lang w:val="en-US" w:eastAsia="zh-CN"/>
        </w:rPr>
        <w:t xml:space="preserve">  国家助学贷款奖补资金应直接发放至学生本人银行卡内。</w:t>
      </w:r>
    </w:p>
    <w:p>
      <w:pPr>
        <w:keepNext w:val="0"/>
        <w:keepLines w:val="0"/>
        <w:pageBreakBefore w:val="0"/>
        <w:kinsoku/>
        <w:wordWrap/>
        <w:overflowPunct/>
        <w:topLinePunct w:val="0"/>
        <w:bidi w:val="0"/>
        <w:snapToGrid/>
        <w:spacing w:line="560" w:lineRule="exact"/>
        <w:ind w:firstLine="643" w:firstLineChars="200"/>
        <w:textAlignment w:val="auto"/>
        <w:rPr>
          <w:rFonts w:hint="eastAsia" w:ascii="仿宋_GB2312" w:hAnsi="仿宋" w:eastAsia="仿宋_GB2312"/>
          <w:sz w:val="32"/>
          <w:szCs w:val="32"/>
        </w:rPr>
      </w:pPr>
      <w:r>
        <w:rPr>
          <w:rFonts w:hint="eastAsia" w:ascii="仿宋_GB2312" w:hAnsi="仿宋" w:eastAsia="仿宋_GB2312"/>
          <w:b/>
          <w:bCs/>
          <w:sz w:val="32"/>
          <w:szCs w:val="32"/>
          <w:lang w:eastAsia="zh-CN"/>
        </w:rPr>
        <w:t>第十二条</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学院承担奖补资金使用的监督管理职责，切实加强资金管理，严格执行国家财经法规和相关管理办法规定及</w:t>
      </w:r>
      <w:r>
        <w:rPr>
          <w:rFonts w:hint="eastAsia" w:ascii="仿宋_GB2312" w:hAnsi="仿宋" w:eastAsia="仿宋_GB2312"/>
          <w:sz w:val="32"/>
          <w:szCs w:val="32"/>
          <w:lang w:val="en-US" w:eastAsia="zh-CN"/>
        </w:rPr>
        <w:t>学院</w:t>
      </w:r>
      <w:r>
        <w:rPr>
          <w:rFonts w:hint="eastAsia" w:ascii="仿宋_GB2312" w:hAnsi="仿宋" w:eastAsia="仿宋_GB2312"/>
          <w:sz w:val="32"/>
          <w:szCs w:val="32"/>
        </w:rPr>
        <w:t>财务和相关管理办法规定，留好材料备案，确保专款专用。同时接受财政、审计、纪检监察、主管机关等部门的检查和监督。</w:t>
      </w:r>
      <w:r>
        <w:rPr>
          <w:rFonts w:hint="eastAsia" w:ascii="仿宋_GB2312" w:hAnsi="仿宋" w:eastAsia="仿宋_GB2312"/>
          <w:sz w:val="32"/>
          <w:szCs w:val="32"/>
          <w:lang w:val="en-US" w:eastAsia="zh-CN"/>
        </w:rPr>
        <w:t>学院</w:t>
      </w:r>
      <w:r>
        <w:rPr>
          <w:rFonts w:hint="eastAsia" w:ascii="仿宋_GB2312" w:hAnsi="仿宋" w:eastAsia="仿宋_GB2312"/>
          <w:sz w:val="32"/>
          <w:szCs w:val="32"/>
        </w:rPr>
        <w:t>及工作人员在资金使用过程中滥用职权、玩忽职守、徇私舞弊以及违反规定分配或挤占、挪用、虚列、套取资金的，按照国家有关法律法规规定追究责任。</w:t>
      </w:r>
    </w:p>
    <w:p>
      <w:pPr>
        <w:keepNext w:val="0"/>
        <w:keepLines w:val="0"/>
        <w:pageBreakBefore w:val="0"/>
        <w:kinsoku/>
        <w:wordWrap/>
        <w:overflowPunct/>
        <w:topLinePunct w:val="0"/>
        <w:bidi w:val="0"/>
        <w:snapToGrid/>
        <w:spacing w:line="560" w:lineRule="exact"/>
        <w:ind w:firstLine="643" w:firstLineChars="200"/>
        <w:textAlignment w:val="auto"/>
        <w:rPr>
          <w:rFonts w:hint="eastAsia" w:ascii="黑体" w:hAnsi="黑体" w:eastAsia="黑体"/>
          <w:sz w:val="32"/>
          <w:szCs w:val="32"/>
        </w:rPr>
      </w:pPr>
      <w:r>
        <w:rPr>
          <w:rFonts w:hint="eastAsia" w:ascii="仿宋_GB2312" w:hAnsi="仿宋" w:eastAsia="仿宋_GB2312"/>
          <w:b/>
          <w:bCs/>
          <w:sz w:val="32"/>
          <w:szCs w:val="32"/>
          <w:lang w:eastAsia="zh-CN"/>
        </w:rPr>
        <w:t>第十三条</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学院不可以将国家助学贷款奖补资金用于平衡本单位内部预算，如市属高校学费提取等。</w:t>
      </w:r>
    </w:p>
    <w:p>
      <w:pPr>
        <w:keepNext w:val="0"/>
        <w:keepLines w:val="0"/>
        <w:pageBreakBefore w:val="0"/>
        <w:kinsoku/>
        <w:wordWrap/>
        <w:overflowPunct/>
        <w:topLinePunct w:val="0"/>
        <w:bidi w:val="0"/>
        <w:snapToGrid/>
        <w:spacing w:line="560" w:lineRule="exact"/>
        <w:ind w:firstLine="643" w:firstLineChars="200"/>
        <w:textAlignment w:val="auto"/>
        <w:rPr>
          <w:rFonts w:hint="eastAsia" w:ascii="仿宋_GB2312" w:hAnsi="仿宋" w:eastAsia="仿宋_GB2312"/>
          <w:sz w:val="32"/>
          <w:szCs w:val="32"/>
        </w:rPr>
      </w:pPr>
      <w:r>
        <w:rPr>
          <w:rFonts w:hint="eastAsia" w:ascii="仿宋_GB2312" w:hAnsi="仿宋" w:eastAsia="仿宋_GB2312"/>
          <w:b/>
          <w:bCs/>
          <w:sz w:val="32"/>
          <w:szCs w:val="32"/>
          <w:lang w:val="en-US" w:eastAsia="zh-CN"/>
        </w:rPr>
        <w:t>第十四条</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对于超过资金使用期限的结余资金，按规定进行资金清缴。</w:t>
      </w:r>
    </w:p>
    <w:p>
      <w:pPr>
        <w:keepNext w:val="0"/>
        <w:keepLines w:val="0"/>
        <w:pageBreakBefore w:val="0"/>
        <w:kinsoku/>
        <w:wordWrap/>
        <w:overflowPunct/>
        <w:topLinePunct w:val="0"/>
        <w:bidi w:val="0"/>
        <w:snapToGrid/>
        <w:spacing w:line="560" w:lineRule="exact"/>
        <w:ind w:firstLine="0" w:firstLineChars="0"/>
        <w:jc w:val="center"/>
        <w:textAlignment w:val="auto"/>
        <w:rPr>
          <w:rFonts w:hint="eastAsia" w:ascii="仿宋_GB2312" w:hAnsi="仿宋" w:eastAsia="仿宋_GB2312"/>
          <w:sz w:val="32"/>
          <w:szCs w:val="32"/>
        </w:rPr>
      </w:pPr>
      <w:r>
        <w:rPr>
          <w:rFonts w:hint="eastAsia" w:ascii="黑体" w:eastAsia="黑体"/>
          <w:sz w:val="32"/>
          <w:szCs w:val="32"/>
          <w:lang w:val="en-US" w:eastAsia="zh-CN"/>
        </w:rPr>
        <w:t>六、附则</w:t>
      </w:r>
    </w:p>
    <w:p>
      <w:pPr>
        <w:keepNext w:val="0"/>
        <w:keepLines w:val="0"/>
        <w:pageBreakBefore w:val="0"/>
        <w:numPr>
          <w:ilvl w:val="-1"/>
          <w:numId w:val="0"/>
        </w:numPr>
        <w:kinsoku/>
        <w:wordWrap/>
        <w:overflowPunct/>
        <w:topLinePunct w:val="0"/>
        <w:bidi w:val="0"/>
        <w:snapToGrid/>
        <w:spacing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第十五条</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rPr>
        <w:t>本细则</w:t>
      </w:r>
      <w:r>
        <w:rPr>
          <w:rFonts w:hint="default" w:ascii="仿宋_GB2312" w:hAnsi="仿宋_GB2312" w:eastAsia="仿宋_GB2312" w:cs="仿宋_GB2312"/>
          <w:bCs w:val="0"/>
          <w:color w:val="auto"/>
          <w:sz w:val="32"/>
          <w:szCs w:val="32"/>
        </w:rPr>
        <w:t>在执行过程中，如遇上级政策发生变化，按照上级有关规定执行。</w:t>
      </w:r>
      <w:r>
        <w:rPr>
          <w:rFonts w:hint="default" w:ascii="仿宋_GB2312" w:hAnsi="仿宋_GB2312" w:eastAsia="仿宋_GB2312" w:cs="仿宋_GB2312"/>
          <w:sz w:val="32"/>
          <w:szCs w:val="32"/>
        </w:rPr>
        <w:t>本细则由</w:t>
      </w:r>
      <w:r>
        <w:rPr>
          <w:rFonts w:hint="default" w:ascii="仿宋_GB2312" w:hAnsi="仿宋_GB2312" w:eastAsia="仿宋_GB2312" w:cs="仿宋_GB2312"/>
          <w:sz w:val="32"/>
          <w:szCs w:val="32"/>
          <w:highlight w:val="none"/>
        </w:rPr>
        <w:t>学生</w:t>
      </w:r>
      <w:r>
        <w:rPr>
          <w:rFonts w:hint="eastAsia" w:ascii="仿宋_GB2312" w:hAnsi="仿宋_GB2312" w:eastAsia="仿宋_GB2312" w:cs="仿宋_GB2312"/>
          <w:sz w:val="32"/>
          <w:szCs w:val="32"/>
          <w:highlight w:val="none"/>
          <w:lang w:eastAsia="zh-CN"/>
        </w:rPr>
        <w:t>工作</w:t>
      </w:r>
      <w:r>
        <w:rPr>
          <w:rFonts w:hint="default" w:ascii="仿宋_GB2312" w:hAnsi="仿宋_GB2312" w:eastAsia="仿宋_GB2312" w:cs="仿宋_GB2312"/>
          <w:sz w:val="32"/>
          <w:szCs w:val="32"/>
          <w:highlight w:val="none"/>
        </w:rPr>
        <w:t>处</w:t>
      </w:r>
      <w:r>
        <w:rPr>
          <w:rFonts w:hint="default" w:ascii="仿宋_GB2312" w:hAnsi="仿宋_GB2312" w:eastAsia="仿宋_GB2312" w:cs="仿宋_GB2312"/>
          <w:sz w:val="32"/>
          <w:szCs w:val="32"/>
        </w:rPr>
        <w:t>负责解释。</w:t>
      </w:r>
    </w:p>
    <w:p>
      <w:pPr>
        <w:keepNext w:val="0"/>
        <w:keepLines w:val="0"/>
        <w:pageBreakBefore w:val="0"/>
        <w:kinsoku/>
        <w:wordWrap/>
        <w:overflowPunct/>
        <w:topLinePunct w:val="0"/>
        <w:bidi w:val="0"/>
        <w:snapToGrid/>
        <w:spacing w:line="560" w:lineRule="exact"/>
        <w:ind w:firstLine="643"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第十六条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rPr>
        <w:t>本细则自</w:t>
      </w:r>
      <w:r>
        <w:rPr>
          <w:rFonts w:hint="eastAsia" w:ascii="仿宋_GB2312" w:hAnsi="仿宋_GB2312" w:eastAsia="仿宋_GB2312" w:cs="仿宋_GB2312"/>
          <w:sz w:val="32"/>
          <w:szCs w:val="32"/>
          <w:lang w:val="en-US" w:eastAsia="zh-CN"/>
        </w:rPr>
        <w:t>2025年9月</w:t>
      </w:r>
      <w:r>
        <w:rPr>
          <w:rFonts w:hint="default" w:ascii="仿宋_GB2312" w:hAnsi="仿宋_GB2312" w:eastAsia="仿宋_GB2312" w:cs="仿宋_GB2312"/>
          <w:sz w:val="32"/>
          <w:szCs w:val="32"/>
        </w:rPr>
        <w:t>起</w:t>
      </w:r>
      <w:r>
        <w:rPr>
          <w:rFonts w:hint="eastAsia" w:ascii="仿宋_GB2312" w:hAnsi="仿宋_GB2312" w:eastAsia="仿宋_GB2312" w:cs="仿宋_GB2312"/>
          <w:sz w:val="32"/>
          <w:szCs w:val="32"/>
          <w:lang w:val="en-US" w:eastAsia="zh-CN"/>
        </w:rPr>
        <w:t>施行，原《北京青年政治学院国家助学贷款中央奖补专项资金使用具体实施细则》同时废止</w:t>
      </w:r>
      <w:r>
        <w:rPr>
          <w:rFonts w:hint="default" w:ascii="仿宋_GB2312" w:hAnsi="仿宋_GB2312" w:eastAsia="仿宋_GB2312" w:cs="仿宋_GB2312"/>
          <w:sz w:val="32"/>
          <w:szCs w:val="32"/>
        </w:rPr>
        <w:t>。</w:t>
      </w: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sz w:val="32"/>
          <w:szCs w:val="32"/>
        </w:rPr>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tbl>
      <w:tblPr>
        <w:tblStyle w:val="7"/>
        <w:tblpPr w:leftFromText="180" w:rightFromText="180" w:vertAnchor="page" w:horzAnchor="page" w:tblpX="1622" w:tblpY="14062"/>
        <w:tblW w:w="892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8" w:type="dxa"/>
            <w:noWrap w:val="0"/>
            <w:vAlign w:val="top"/>
          </w:tcPr>
          <w:p>
            <w:pPr>
              <w:ind w:firstLine="140" w:firstLineChars="50"/>
              <w:rPr>
                <w:rFonts w:hint="eastAsia"/>
                <w:kern w:val="0"/>
                <w:sz w:val="28"/>
                <w:szCs w:val="28"/>
              </w:rPr>
            </w:pPr>
            <w:bookmarkStart w:id="0" w:name="_GoBack"/>
            <w:bookmarkEnd w:id="0"/>
            <w:r>
              <w:rPr>
                <w:rFonts w:hint="eastAsia" w:ascii="仿宋_GB2312" w:eastAsia="仿宋_GB2312"/>
                <w:sz w:val="28"/>
                <w:szCs w:val="28"/>
              </w:rPr>
              <w:t xml:space="preserve">党政办公室                             </w:t>
            </w:r>
            <w:r>
              <w:rPr>
                <w:rFonts w:hint="eastAsia" w:ascii="仿宋_GB2312" w:eastAsia="仿宋_GB2312"/>
                <w:sz w:val="28"/>
                <w:szCs w:val="28"/>
                <w:lang w:val="en-US" w:eastAsia="zh-CN"/>
              </w:rPr>
              <w:t xml:space="preserve">  </w:t>
            </w:r>
            <w:r>
              <w:rPr>
                <w:rFonts w:hint="eastAsia" w:ascii="仿宋_GB2312" w:eastAsia="仿宋_GB2312"/>
                <w:sz w:val="28"/>
                <w:szCs w:val="28"/>
              </w:rPr>
              <w:t>202</w:t>
            </w:r>
            <w:r>
              <w:rPr>
                <w:rFonts w:hint="eastAsia" w:ascii="仿宋_GB2312" w:eastAsia="仿宋_GB2312"/>
                <w:sz w:val="28"/>
                <w:szCs w:val="28"/>
                <w:lang w:val="en-US" w:eastAsia="zh-CN"/>
              </w:rPr>
              <w:t>5</w:t>
            </w:r>
            <w:r>
              <w:rPr>
                <w:rFonts w:hint="eastAsia" w:ascii="仿宋_GB2312" w:eastAsia="仿宋_GB2312"/>
                <w:sz w:val="28"/>
                <w:szCs w:val="28"/>
              </w:rPr>
              <w:t>年</w:t>
            </w:r>
            <w:r>
              <w:rPr>
                <w:rStyle w:val="9"/>
                <w:rFonts w:hint="eastAsia" w:ascii="仿宋_GB2312" w:hAnsi="仿宋" w:eastAsia="仿宋_GB2312" w:cs="Arial"/>
                <w:b w:val="0"/>
                <w:bCs w:val="0"/>
                <w:color w:val="000000"/>
                <w:sz w:val="32"/>
                <w:szCs w:val="32"/>
                <w:lang w:val="en-US" w:eastAsia="zh-CN" w:bidi="ar-SA"/>
              </w:rPr>
              <w:t>7</w:t>
            </w:r>
            <w:r>
              <w:rPr>
                <w:rFonts w:hint="eastAsia" w:ascii="仿宋_GB2312" w:eastAsia="仿宋_GB2312"/>
                <w:sz w:val="28"/>
                <w:szCs w:val="28"/>
              </w:rPr>
              <w:t>月</w:t>
            </w:r>
            <w:r>
              <w:rPr>
                <w:rStyle w:val="9"/>
                <w:rFonts w:hint="eastAsia" w:ascii="仿宋_GB2312" w:hAnsi="仿宋" w:eastAsia="仿宋_GB2312" w:cs="Arial"/>
                <w:b w:val="0"/>
                <w:bCs w:val="0"/>
                <w:color w:val="000000"/>
                <w:sz w:val="32"/>
                <w:szCs w:val="32"/>
                <w:lang w:val="en-US" w:eastAsia="zh-CN" w:bidi="ar-SA"/>
              </w:rPr>
              <w:t>3</w:t>
            </w:r>
            <w:r>
              <w:rPr>
                <w:rFonts w:hint="eastAsia" w:ascii="仿宋_GB2312" w:eastAsia="仿宋_GB2312"/>
                <w:sz w:val="28"/>
                <w:szCs w:val="28"/>
              </w:rPr>
              <w:t>日印发</w:t>
            </w:r>
          </w:p>
        </w:tc>
      </w:tr>
    </w:tbl>
    <w:p>
      <w:pPr>
        <w:keepNext w:val="0"/>
        <w:keepLines w:val="0"/>
        <w:pageBreakBefore w:val="0"/>
        <w:kinsoku/>
        <w:wordWrap/>
        <w:overflowPunct/>
        <w:topLinePunct w:val="0"/>
        <w:bidi w:val="0"/>
        <w:snapToGrid/>
        <w:spacing w:line="560" w:lineRule="exact"/>
        <w:textAlignment w:val="auto"/>
      </w:pPr>
    </w:p>
    <w:p>
      <w:pPr>
        <w:keepNext w:val="0"/>
        <w:keepLines w:val="0"/>
        <w:pageBreakBefore w:val="0"/>
        <w:kinsoku/>
        <w:wordWrap/>
        <w:overflowPunct/>
        <w:topLinePunct w:val="0"/>
        <w:bidi w:val="0"/>
        <w:snapToGrid/>
        <w:spacing w:line="560" w:lineRule="exact"/>
        <w:textAlignment w:val="auto"/>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rPr>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DEF01C"/>
    <w:multiLevelType w:val="singleLevel"/>
    <w:tmpl w:val="62DEF01C"/>
    <w:lvl w:ilvl="0" w:tentative="0">
      <w:start w:val="1"/>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hODQyMDg0ODM5NjE4OTJiNTc0ZjAwN2RlMDdkOTYifQ=="/>
  </w:docVars>
  <w:rsids>
    <w:rsidRoot w:val="77845A63"/>
    <w:rsid w:val="050E5F6D"/>
    <w:rsid w:val="0FFE49EE"/>
    <w:rsid w:val="278128E3"/>
    <w:rsid w:val="2DBF2D4E"/>
    <w:rsid w:val="391F4AE0"/>
    <w:rsid w:val="4C3D1FFF"/>
    <w:rsid w:val="56EF29AC"/>
    <w:rsid w:val="5BD62CB1"/>
    <w:rsid w:val="67F52955"/>
    <w:rsid w:val="6BAA7419"/>
    <w:rsid w:val="6DA1215E"/>
    <w:rsid w:val="6E9836E9"/>
    <w:rsid w:val="764C26FA"/>
    <w:rsid w:val="77845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Indent"/>
    <w:basedOn w:val="1"/>
    <w:autoRedefine/>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6">
    <w:name w:val="Body Text First Indent 2"/>
    <w:basedOn w:val="2"/>
    <w:autoRedefine/>
    <w:qFormat/>
    <w:uiPriority w:val="0"/>
    <w:pPr>
      <w:ind w:firstLine="420"/>
    </w:pPr>
    <w:rPr>
      <w:rFonts w:ascii="Calibri" w:hAnsi="Calibri"/>
    </w:rPr>
  </w:style>
  <w:style w:type="character" w:styleId="9">
    <w:name w:val="Strong"/>
    <w:basedOn w:val="8"/>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2025-06-25T00:35:00Z</dcterms:created>
  <dc:creator>王茹楠</dc:creator>
  <cp:lastModifiedBy>20170003</cp:lastModifiedBy>
  <cp:lastPrinted>2025-07-07T09:00:46Z</cp:lastPrinted>
  <dcterms:modified xsi:type="dcterms:W3CDTF">2025-07-07T09:02:56Z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5BF9A3A7F72B4C449EA0D713D07837B8_13</vt:lpwstr>
  </property>
</Properties>
</file>