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74"/>
        <w:gridCol w:w="50"/>
      </w:tblGrid>
      <w:tr w14:paraId="19A35438">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14:paraId="6FA642AE">
            <w:pPr>
              <w:jc w:val="center"/>
              <w:rPr>
                <w:rFonts w:ascii="方正小标宋简体" w:hAnsi="宋体" w:eastAsia="方正小标宋简体"/>
                <w:bCs/>
                <w:color w:val="FF0000"/>
                <w:spacing w:val="10"/>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14:paraId="46A0B182">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14:paraId="5DEB724A">
            <w:pPr>
              <w:jc w:val="center"/>
              <w:rPr>
                <w:rFonts w:ascii="仿宋_GB2312" w:hAnsi="宋体" w:eastAsia="仿宋_GB2312" w:cs="仿宋_GB2312"/>
                <w:sz w:val="32"/>
                <w:szCs w:val="32"/>
              </w:rPr>
            </w:pPr>
          </w:p>
          <w:p w14:paraId="00ED2657">
            <w:pPr>
              <w:jc w:val="center"/>
              <w:rPr>
                <w:rFonts w:ascii="仿宋_GB2312" w:hAnsi="宋体" w:eastAsia="仿宋_GB2312"/>
                <w:sz w:val="32"/>
                <w:szCs w:val="32"/>
              </w:rPr>
            </w:pPr>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号</w:t>
            </w:r>
          </w:p>
        </w:tc>
      </w:tr>
    </w:tbl>
    <w:p w14:paraId="7CA94778">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14:paraId="59F72143">
      <w:pPr>
        <w:autoSpaceDE w:val="0"/>
        <w:autoSpaceDN w:val="0"/>
        <w:adjustRightInd w:val="0"/>
        <w:spacing w:line="560" w:lineRule="exact"/>
        <w:contextualSpacing/>
        <w:jc w:val="center"/>
        <w:rPr>
          <w:rFonts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北京青年政治学院</w:t>
      </w:r>
    </w:p>
    <w:p w14:paraId="59FFEF7E">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关于印发《北京青年政治学院勤工助学</w:t>
      </w:r>
    </w:p>
    <w:p w14:paraId="6DE09728">
      <w:pPr>
        <w:autoSpaceDE w:val="0"/>
        <w:autoSpaceDN w:val="0"/>
        <w:adjustRightInd w:val="0"/>
        <w:spacing w:line="560" w:lineRule="exact"/>
        <w:contextualSpacing/>
        <w:jc w:val="center"/>
        <w:rPr>
          <w:rFonts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组织管理办法》的通知</w:t>
      </w:r>
    </w:p>
    <w:p w14:paraId="7FAA6226">
      <w:pPr>
        <w:autoSpaceDE w:val="0"/>
        <w:autoSpaceDN w:val="0"/>
        <w:adjustRightInd w:val="0"/>
        <w:spacing w:line="560" w:lineRule="exact"/>
        <w:contextualSpacing/>
        <w:jc w:val="center"/>
        <w:rPr>
          <w:rFonts w:ascii="方正小标宋简体" w:hAnsi="华文中宋" w:eastAsia="方正小标宋简体"/>
          <w:color w:val="000000"/>
          <w:sz w:val="44"/>
          <w:szCs w:val="44"/>
        </w:rPr>
      </w:pPr>
    </w:p>
    <w:p w14:paraId="5F7DD0D4">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14:paraId="068D3BE5">
      <w:pPr>
        <w:widowControl/>
        <w:spacing w:line="560" w:lineRule="exact"/>
        <w:ind w:firstLine="640" w:firstLineChars="200"/>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《北京青年政治学院勤工助学组织管理办法》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Fonts w:hint="eastAsia" w:ascii="楷体_GB2312" w:hAnsi="楷体" w:eastAsia="楷体_GB2312"/>
          <w:sz w:val="32"/>
          <w:szCs w:val="32"/>
          <w:lang w:val="en-US" w:eastAsia="zh-CN"/>
        </w:rPr>
        <w:t>3</w:t>
      </w:r>
      <w:r>
        <w:rPr>
          <w:rFonts w:hint="eastAsia" w:ascii="楷体_GB2312" w:hAnsi="楷体" w:eastAsia="楷体_GB2312"/>
          <w:sz w:val="32"/>
          <w:szCs w:val="32"/>
        </w:rPr>
        <w:t>月</w:t>
      </w:r>
      <w:r>
        <w:rPr>
          <w:rFonts w:hint="eastAsia" w:ascii="楷体_GB2312" w:hAnsi="楷体" w:eastAsia="楷体_GB2312"/>
          <w:sz w:val="32"/>
          <w:szCs w:val="32"/>
          <w:lang w:val="en-US" w:eastAsia="zh-CN"/>
        </w:rPr>
        <w:t>27</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7</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14:paraId="57E6119A">
      <w:pPr>
        <w:pStyle w:val="2"/>
        <w:spacing w:line="560" w:lineRule="exact"/>
        <w:rPr>
          <w:rFonts w:ascii="楷体_GB2312" w:hAnsi="楷体" w:eastAsia="楷体_GB2312"/>
          <w:color w:val="000000"/>
          <w:sz w:val="32"/>
          <w:szCs w:val="32"/>
        </w:rPr>
      </w:pPr>
    </w:p>
    <w:p w14:paraId="34DF9611">
      <w:pPr>
        <w:spacing w:line="560" w:lineRule="exact"/>
      </w:pPr>
    </w:p>
    <w:p w14:paraId="1B0DF26A">
      <w:pPr>
        <w:spacing w:line="560" w:lineRule="exact"/>
        <w:ind w:firstLine="4480" w:firstLineChars="1400"/>
        <w:jc w:val="left"/>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w:t>
      </w:r>
    </w:p>
    <w:p w14:paraId="721A3A7C">
      <w:pPr>
        <w:wordWrap w:val="0"/>
        <w:spacing w:line="560" w:lineRule="exact"/>
        <w:jc w:val="right"/>
        <w:rPr>
          <w:rFonts w:hint="default" w:ascii="楷体_GB2312" w:hAnsi="楷体" w:eastAsia="楷体_GB2312"/>
          <w:color w:val="000000"/>
          <w:sz w:val="32"/>
          <w:szCs w:val="32"/>
          <w:lang w:val="en-US" w:eastAsia="zh-CN"/>
        </w:rPr>
      </w:pPr>
      <w:r>
        <w:rPr>
          <w:rFonts w:hint="eastAsia" w:ascii="楷体_GB2312" w:hAnsi="楷体" w:eastAsia="楷体_GB2312"/>
          <w:color w:val="000000"/>
          <w:sz w:val="32"/>
          <w:szCs w:val="32"/>
        </w:rPr>
        <w:t>202</w:t>
      </w:r>
      <w:r>
        <w:rPr>
          <w:rFonts w:hint="eastAsia" w:ascii="楷体_GB2312" w:hAnsi="楷体" w:eastAsia="楷体_GB2312"/>
          <w:color w:val="000000"/>
          <w:sz w:val="32"/>
          <w:szCs w:val="32"/>
          <w:lang w:val="en-US" w:eastAsia="zh-CN"/>
        </w:rPr>
        <w:t>5</w:t>
      </w:r>
      <w:r>
        <w:rPr>
          <w:rFonts w:hint="eastAsia" w:ascii="楷体_GB2312" w:hAnsi="楷体" w:eastAsia="楷体_GB2312"/>
          <w:color w:val="000000"/>
          <w:sz w:val="32"/>
          <w:szCs w:val="32"/>
        </w:rPr>
        <w:t>年</w:t>
      </w:r>
      <w:r>
        <w:rPr>
          <w:rFonts w:hint="eastAsia" w:ascii="楷体_GB2312" w:hAnsi="楷体" w:eastAsia="楷体_GB2312"/>
          <w:color w:val="000000"/>
          <w:sz w:val="32"/>
          <w:szCs w:val="32"/>
          <w:lang w:val="en-US" w:eastAsia="zh-CN"/>
        </w:rPr>
        <w:t>4</w:t>
      </w:r>
      <w:r>
        <w:rPr>
          <w:rFonts w:hint="eastAsia" w:ascii="楷体_GB2312" w:hAnsi="楷体" w:eastAsia="楷体_GB2312"/>
          <w:color w:val="000000"/>
          <w:sz w:val="32"/>
          <w:szCs w:val="32"/>
        </w:rPr>
        <w:t>月</w:t>
      </w:r>
      <w:r>
        <w:rPr>
          <w:rFonts w:hint="eastAsia" w:ascii="楷体_GB2312" w:hAnsi="楷体" w:eastAsia="楷体_GB2312"/>
          <w:color w:val="000000"/>
          <w:sz w:val="32"/>
          <w:szCs w:val="32"/>
          <w:lang w:val="en-US" w:eastAsia="zh-CN"/>
        </w:rPr>
        <w:t>2</w:t>
      </w:r>
      <w:r>
        <w:rPr>
          <w:rFonts w:hint="eastAsia" w:ascii="楷体_GB2312" w:hAnsi="楷体" w:eastAsia="楷体_GB2312"/>
          <w:color w:val="000000"/>
          <w:sz w:val="32"/>
          <w:szCs w:val="32"/>
        </w:rPr>
        <w:t>日</w:t>
      </w:r>
      <w:r>
        <w:rPr>
          <w:rFonts w:hint="eastAsia" w:ascii="楷体_GB2312" w:hAnsi="楷体" w:eastAsia="楷体_GB2312"/>
          <w:color w:val="000000"/>
          <w:sz w:val="32"/>
          <w:szCs w:val="32"/>
          <w:lang w:val="en-US" w:eastAsia="zh-CN"/>
        </w:rPr>
        <w:t xml:space="preserve">        </w:t>
      </w:r>
    </w:p>
    <w:p w14:paraId="28C4674D">
      <w:pPr>
        <w:spacing w:line="560" w:lineRule="exact"/>
        <w:rPr>
          <w:rFonts w:ascii="方正小标宋简体" w:hAnsi="华文中宋" w:eastAsia="方正小标宋简体" w:cs="Times New Roman"/>
          <w:color w:val="000000"/>
          <w:sz w:val="44"/>
          <w:szCs w:val="44"/>
        </w:rPr>
      </w:pPr>
      <w:r>
        <w:rPr>
          <w:rFonts w:hint="eastAsia" w:ascii="方正小标宋简体" w:hAnsi="华文中宋" w:eastAsia="方正小标宋简体" w:cs="Times New Roman"/>
          <w:color w:val="000000"/>
          <w:sz w:val="44"/>
          <w:szCs w:val="44"/>
        </w:rPr>
        <w:br w:type="page"/>
      </w:r>
    </w:p>
    <w:p w14:paraId="67932036">
      <w:pPr>
        <w:widowControl/>
        <w:spacing w:before="100" w:beforeAutospacing="1" w:after="100" w:afterAutospacing="1"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北京青年政治学院勤工助学组织管理办法</w:t>
      </w:r>
    </w:p>
    <w:p w14:paraId="71521DFA">
      <w:pPr>
        <w:pStyle w:val="5"/>
        <w:keepNext w:val="0"/>
        <w:keepLines w:val="0"/>
        <w:pageBreakBefore w:val="0"/>
        <w:widowControl/>
        <w:kinsoku/>
        <w:wordWrap/>
        <w:overflowPunct/>
        <w:topLinePunct w:val="0"/>
        <w:autoSpaceDE/>
        <w:autoSpaceDN/>
        <w:bidi w:val="0"/>
        <w:adjustRightInd/>
        <w:snapToGrid/>
        <w:spacing w:before="313" w:beforeLines="100" w:beforeAutospacing="0" w:after="0" w:afterAutospacing="0" w:line="560" w:lineRule="exact"/>
        <w:jc w:val="center"/>
        <w:textAlignment w:val="auto"/>
        <w:rPr>
          <w:rStyle w:val="8"/>
          <w:rFonts w:hint="eastAsia" w:ascii="仿宋_GB2312" w:hAnsi="仿宋" w:eastAsia="仿宋_GB2312" w:cs="Arial"/>
          <w:b w:val="0"/>
          <w:bCs w:val="0"/>
          <w:color w:val="000000"/>
          <w:sz w:val="32"/>
          <w:szCs w:val="32"/>
          <w:lang w:val="en-US" w:eastAsia="zh-CN"/>
        </w:rPr>
      </w:pPr>
      <w:r>
        <w:rPr>
          <w:rStyle w:val="8"/>
          <w:rFonts w:hint="eastAsia" w:ascii="仿宋_GB2312" w:hAnsi="仿宋" w:eastAsia="仿宋_GB2312" w:cs="Arial"/>
          <w:b w:val="0"/>
          <w:bCs w:val="0"/>
          <w:color w:val="000000"/>
          <w:sz w:val="32"/>
          <w:szCs w:val="32"/>
          <w:lang w:val="en-US" w:eastAsia="zh-CN"/>
        </w:rPr>
        <w:t>（1994年院长办公会第26次会议通过  1994年4月2日</w:t>
      </w:r>
    </w:p>
    <w:p w14:paraId="4EB02880">
      <w:pPr>
        <w:pStyle w:val="5"/>
        <w:spacing w:before="0" w:beforeAutospacing="0" w:after="0" w:afterAutospacing="0" w:line="560" w:lineRule="exact"/>
        <w:jc w:val="center"/>
        <w:rPr>
          <w:rStyle w:val="8"/>
          <w:rFonts w:hint="eastAsia" w:ascii="仿宋_GB2312" w:hAnsi="仿宋" w:eastAsia="仿宋_GB2312" w:cs="Arial"/>
          <w:b w:val="0"/>
          <w:bCs w:val="0"/>
          <w:color w:val="000000"/>
          <w:sz w:val="32"/>
          <w:szCs w:val="32"/>
        </w:rPr>
      </w:pPr>
      <w:r>
        <w:rPr>
          <w:rStyle w:val="8"/>
          <w:rFonts w:hint="eastAsia" w:ascii="仿宋_GB2312" w:hAnsi="仿宋" w:eastAsia="仿宋_GB2312" w:cs="Arial"/>
          <w:b w:val="0"/>
          <w:bCs w:val="0"/>
          <w:color w:val="000000"/>
          <w:sz w:val="32"/>
          <w:szCs w:val="32"/>
          <w:lang w:val="en-US" w:eastAsia="zh-CN"/>
        </w:rPr>
        <w:t>发布  2025年3月27日院长办公会第7次会议修订     2025</w:t>
      </w:r>
      <w:r>
        <w:rPr>
          <w:rStyle w:val="8"/>
          <w:rFonts w:hint="eastAsia" w:ascii="仿宋_GB2312" w:hAnsi="仿宋" w:eastAsia="仿宋_GB2312" w:cs="Arial"/>
          <w:b w:val="0"/>
          <w:bCs w:val="0"/>
          <w:color w:val="000000"/>
          <w:sz w:val="32"/>
          <w:szCs w:val="32"/>
        </w:rPr>
        <w:t>年</w:t>
      </w:r>
      <w:r>
        <w:rPr>
          <w:rStyle w:val="8"/>
          <w:rFonts w:hint="eastAsia" w:ascii="仿宋_GB2312" w:hAnsi="仿宋" w:eastAsia="仿宋_GB2312" w:cs="Arial"/>
          <w:b w:val="0"/>
          <w:bCs w:val="0"/>
          <w:color w:val="000000"/>
          <w:sz w:val="32"/>
          <w:szCs w:val="32"/>
          <w:lang w:val="en-US" w:eastAsia="zh-CN"/>
        </w:rPr>
        <w:t>4</w:t>
      </w:r>
      <w:r>
        <w:rPr>
          <w:rStyle w:val="8"/>
          <w:rFonts w:hint="eastAsia" w:ascii="仿宋_GB2312" w:hAnsi="仿宋" w:eastAsia="仿宋_GB2312" w:cs="Arial"/>
          <w:b w:val="0"/>
          <w:bCs w:val="0"/>
          <w:color w:val="000000"/>
          <w:sz w:val="32"/>
          <w:szCs w:val="32"/>
        </w:rPr>
        <w:t>月</w:t>
      </w:r>
      <w:r>
        <w:rPr>
          <w:rStyle w:val="8"/>
          <w:rFonts w:hint="eastAsia" w:ascii="仿宋_GB2312" w:hAnsi="仿宋" w:eastAsia="仿宋_GB2312" w:cs="Arial"/>
          <w:b w:val="0"/>
          <w:bCs w:val="0"/>
          <w:color w:val="000000"/>
          <w:sz w:val="32"/>
          <w:szCs w:val="32"/>
          <w:lang w:val="en-US" w:eastAsia="zh-CN"/>
        </w:rPr>
        <w:t>2</w:t>
      </w:r>
      <w:r>
        <w:rPr>
          <w:rStyle w:val="8"/>
          <w:rFonts w:hint="eastAsia" w:ascii="仿宋_GB2312" w:hAnsi="仿宋" w:eastAsia="仿宋_GB2312" w:cs="Arial"/>
          <w:b w:val="0"/>
          <w:bCs w:val="0"/>
          <w:color w:val="000000"/>
          <w:sz w:val="32"/>
          <w:szCs w:val="32"/>
        </w:rPr>
        <w:t>日发布）</w:t>
      </w:r>
    </w:p>
    <w:p w14:paraId="749CB73A">
      <w:pPr>
        <w:keepNext w:val="0"/>
        <w:keepLines w:val="0"/>
        <w:pageBreakBefore w:val="0"/>
        <w:widowControl w:val="0"/>
        <w:kinsoku/>
        <w:wordWrap/>
        <w:overflowPunct/>
        <w:topLinePunct w:val="0"/>
        <w:autoSpaceDE/>
        <w:autoSpaceDN/>
        <w:bidi w:val="0"/>
        <w:adjustRightInd/>
        <w:snapToGrid/>
        <w:spacing w:before="313" w:beforeLines="100" w:line="560" w:lineRule="exact"/>
        <w:ind w:firstLine="640" w:firstLineChars="200"/>
        <w:textAlignment w:val="auto"/>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为促进北京青年政治学院（下称学院）勤工助学活动健康、有序开展，保障学生合法权益，培养学生自立自强、创新创业精神，增强学生社会实践能力，帮助学生，特别是家庭经济困难学生顺利完成学业，发挥勤工助学育人功能，根据《高等教育法》、《北京地区普通高等学校学生勤工助学活动的规定》（京教〔2000〕024号）、《高等学校勤工助学管理办法》（教财〔2018〕12 号）的通知精神，结合学院学生资助工作具体实践，特修订本办法。</w:t>
      </w:r>
    </w:p>
    <w:p w14:paraId="4A58E677">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第一章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总则</w:t>
      </w:r>
    </w:p>
    <w:p w14:paraId="1BCEE569">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第一条  本办法所称勤工助学活动是指学生在学院的组织下利用课余时间，通过劳动取得合法报酬，用于改善学习和生活条件的社会实践活动。勤工助学是学院学生资助工作的重要组成部分，是提高学生综合素质和资助家庭经济困难学生的有效途径，是实现全员育人、全程育人、全方位育人的有效平台。</w:t>
      </w:r>
    </w:p>
    <w:p w14:paraId="6BC5DB8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第二条  学院勤工助学坚持以“立足校园、服务社会”的宗旨，按照学有余力、自愿申请、信息公开、扶困优先、竞争上岗、遵纪守法的原则，由学院在不影响正常教学秩序和学生正常学习的前提下有组织地开展。</w:t>
      </w:r>
      <w:bookmarkStart w:id="0" w:name="OLE_LINK4"/>
      <w:bookmarkStart w:id="1" w:name="OLE_LINK3"/>
    </w:p>
    <w:p w14:paraId="12B5781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第三条  勤工助学由学院统一组织和管理。学生私自在校内外兼职的行为，不在本办法之列。</w:t>
      </w:r>
      <w:bookmarkEnd w:id="0"/>
      <w:bookmarkEnd w:id="1"/>
    </w:p>
    <w:p w14:paraId="20BE87A7">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第四条  本办法适用于学院全日制在校学生。安排勤工助学岗位，优先提供给家庭经济困难学生。留学生勤工助学工作依据上级有关规定执行。</w:t>
      </w:r>
    </w:p>
    <w:p w14:paraId="404F950E">
      <w:pPr>
        <w:numPr>
          <w:ilvl w:val="-1"/>
          <w:numId w:val="0"/>
        </w:numPr>
        <w:spacing w:line="560" w:lineRule="exact"/>
        <w:ind w:firstLine="0"/>
        <w:jc w:val="center"/>
        <w:outlineLvl w:val="0"/>
        <w:rPr>
          <w:rFonts w:hint="eastAsia" w:ascii="黑体" w:hAnsi="黑体" w:eastAsia="黑体" w:cs="黑体"/>
          <w:sz w:val="32"/>
          <w:szCs w:val="32"/>
        </w:rPr>
      </w:pPr>
      <w:r>
        <w:rPr>
          <w:rFonts w:hint="eastAsia" w:ascii="黑体" w:hAnsi="黑体" w:eastAsia="黑体" w:cs="Times New Roman"/>
          <w:bCs/>
          <w:sz w:val="32"/>
          <w:szCs w:val="32"/>
          <w:lang w:eastAsia="zh-CN"/>
        </w:rPr>
        <w:t>第二章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组织机构与职责</w:t>
      </w:r>
    </w:p>
    <w:p w14:paraId="386F510F">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第五条 学院学生资助评审委员会（以下简称“评审委员会”）全面领导勤工助学工作。评审委员会由学院主管学生工作的院领导任主任，学生处、教务处、财务处、团委负责人任委员，负责协调学院勤工助学工作，指导学生资助管理机构开展相关工作。</w:t>
      </w:r>
    </w:p>
    <w:p w14:paraId="3F984D25">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资助评审委员会办公室设在学生工作部（学生处、武装部）学生资助管理中心，具体负责勤工助学的日常管理工作，引导和组织学生积极参加校内勤工助学活动，并注重与学生学业的有机结合。</w:t>
      </w:r>
    </w:p>
    <w:p w14:paraId="69632A2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第六条  学生资助管理中心关于学生勤工助学日常管理的职责：</w:t>
      </w:r>
    </w:p>
    <w:p w14:paraId="23A570A1">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（一）制定学院勤工助学管理办法和具体实施意见，按照评审委员会的决议对学院勤工助学工作进行指导、检查和监督。</w:t>
      </w:r>
    </w:p>
    <w:p w14:paraId="55160033">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（二）统筹、测算、安排、设置校内勤工助学岗位，积极开发校内资源，保障学生参与勤工助学的需要。</w:t>
      </w:r>
    </w:p>
    <w:p w14:paraId="573DB26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（三）配合学院财务部门共同管理和使用学院勤工助学专项资金，制定校内勤工助学岗位的报酬标准，并负责酬金的发放和管理工作。</w:t>
      </w:r>
    </w:p>
    <w:p w14:paraId="719454F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（四）组织勤工助学岗前培训和安全教育，维护勤工助学学生的合法权益。加强对勤工助学学生的思想政治教育，引导树立正确的劳动观。</w:t>
      </w:r>
    </w:p>
    <w:p w14:paraId="5B0066B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（五）对违反勤工助学相关规定的学生，可按照规定停止其勤工助学活动；对在勤工助学活动中违反校规校纪的，按照校规校纪进行教育和处理。</w:t>
      </w:r>
    </w:p>
    <w:p w14:paraId="3B970829">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第七条  用工部门/单位职责</w:t>
      </w:r>
    </w:p>
    <w:p w14:paraId="268B9F9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（一）严格执行我院勤工助学相关管理办法和规定。</w:t>
      </w:r>
    </w:p>
    <w:p w14:paraId="43AE931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（二）对参加本单位勤工助学的学生进行相关规定、工作技能及安全知识等培训，明确工作职责，确保学生能够安全顺利上岗。</w:t>
      </w:r>
    </w:p>
    <w:p w14:paraId="4EF161CC">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（三）负责本单位勤工助学学生的日常管理和教育，保障勤工助学学生的劳动安全，维护和尊重勤工助学学生的合法权益。</w:t>
      </w:r>
    </w:p>
    <w:p w14:paraId="11AD69EC">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（四）认真做好勤工助学学生岗位申请、变更、补助统计、岗位考核等，协助学生资助管理中心做好学生参加勤工助学活动的管理和指导。</w:t>
      </w:r>
    </w:p>
    <w:p w14:paraId="131712DB">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（五）为勤工助学学生提供良好的安全工作条件和环境，不得组织学生参加有毒、有害和危险的生产作业以及超过学生身体承受能力、有碍学生身心健康的工作。</w:t>
      </w:r>
    </w:p>
    <w:p w14:paraId="407867C1">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 w:eastAsia="仿宋_GB2312" w:cs="Times New Roman"/>
          <w:bCs/>
          <w:sz w:val="32"/>
          <w:szCs w:val="32"/>
        </w:rPr>
        <w:t>第八条  各部门均应加强对勤工助学学生的思想教育，培养学生热爱劳动、自强不息、创新创业的奋斗精神，增强学生综合素质和技能，充分发挥勤工助学育人功能。</w:t>
      </w:r>
    </w:p>
    <w:p w14:paraId="5D04C633">
      <w:pPr>
        <w:numPr>
          <w:ilvl w:val="-1"/>
          <w:numId w:val="0"/>
        </w:numPr>
        <w:spacing w:line="560" w:lineRule="exact"/>
        <w:ind w:firstLine="0" w:firstLineChars="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第三章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勤工助学岗位设置和管理</w:t>
      </w:r>
    </w:p>
    <w:p w14:paraId="28086EA1">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第九条  校内勤工助学岗位的设置和管理：</w:t>
      </w:r>
    </w:p>
    <w:p w14:paraId="6A9A8CE4">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（一）校内勤工助学岗位设置应以校内教学助理、科研助理、行政管理助理和公共服务等为主。</w:t>
      </w:r>
    </w:p>
    <w:p w14:paraId="06FB750B">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（二）校内勤工助学岗位分固定岗位和临时岗位。固定岗位是指持续一个学期以上的长期性岗位或寒暑假期间的连续性岗位；临时岗位是指不具有长期性，通过一次或几次勤工助学活动即完成任务的工作岗位。</w:t>
      </w:r>
    </w:p>
    <w:p w14:paraId="06FE5B7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校内各用工部门依据勤工助学工作特点，结合本部门实际需要，本着必要、适当的原则提出设岗（固定岗）申请。设岗申请每学年申请一次，申请时间为每学年第二学期期末。由用工部门填写《北京青年政治学院勤工助学固定岗位设置申请表》，报送学生资助管理中心。学生资助管理中心对岗位设置进行统筹测算，反馈用工部门后方可设岗。临时岗位需提前三个工作日申请，并提交用工申请表。</w:t>
      </w:r>
    </w:p>
    <w:p w14:paraId="43475F96">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（四）校内勤工助学岗位录用采取统一发布</w:t>
      </w:r>
      <w:bookmarkStart w:id="2" w:name="_GoBack"/>
      <w:bookmarkEnd w:id="2"/>
      <w:r>
        <w:rPr>
          <w:rFonts w:hint="eastAsia" w:ascii="仿宋_GB2312" w:hAnsi="仿宋" w:eastAsia="仿宋_GB2312" w:cs="Times New Roman"/>
          <w:bCs/>
          <w:sz w:val="32"/>
          <w:szCs w:val="32"/>
        </w:rPr>
        <w:t>岗位、学生自主申请、用工部门与学生双向选择模式确定。每个岗位原则上每学期只聘用一个学生。如果学生课程多，业余时间少，用人单位可以聘用两个或多个学生，但学院按照岗位支付报酬。参加勤工助学的学生原则上一人一个岗位，不允许同时兼任多个岗位的工作，对于擅自同时兼任多个岗位的学生只按一个岗位给予酬金。</w:t>
      </w:r>
    </w:p>
    <w:p w14:paraId="59E9C1F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（五）岗位聘用后，所聘学生均需填写《参加勤工助学活动申请表》，由用工部门报送学生资助管理中心备案。</w:t>
      </w:r>
    </w:p>
    <w:p w14:paraId="2B995F53">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 w:eastAsia="仿宋_GB2312" w:cs="Times New Roman"/>
          <w:bCs/>
          <w:sz w:val="32"/>
          <w:szCs w:val="32"/>
        </w:rPr>
        <w:t>第十条  学生参加勤工助学的时间原则上每月不超过40小时。寒暑假勤工助学岗位需在固定岗位申请时特别注明，时间根据学院的具体情况可适当延长，但每周不超过40小时，每月不超过160小时。</w:t>
      </w:r>
    </w:p>
    <w:p w14:paraId="1CCD7934">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第四章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学生参加勤工助学活动要求</w:t>
      </w:r>
    </w:p>
    <w:p w14:paraId="43D703DD">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第十一条  学生参加勤工助学活动需本人自愿提出申请，通过用工部门面试、学生资助管理中心备案后，方可上岗。</w:t>
      </w:r>
    </w:p>
    <w:p w14:paraId="56D3058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第十二条  学生参加勤工助学不应影响正常的学习，对出现学业预警的学生，学生资助管理中心有权终止其参加勤工助学活动。</w:t>
      </w:r>
    </w:p>
    <w:p w14:paraId="5163B05C">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第十三条  学生从事勤工助学活动须自觉遵守用人单位的各项规章制度，服从用人单位的管理，按时到岗。工作期间无特殊情况不得擅自离岗。若出现违反用人单位规定的行为，用人单位视情节轻重，有权对其进行批评教育或辞退。</w:t>
      </w:r>
    </w:p>
    <w:p w14:paraId="5566E92F">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第十四条  学生从事勤工助学活动因故不能正常上岗，须事先向用人单位请假；对于擅自离岗两周（节假日往后顺延）的学生，扣发当月酬金，且此后不再受理其勤工助学申请。</w:t>
      </w:r>
    </w:p>
    <w:p w14:paraId="1CA36C1D">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 w:eastAsia="仿宋_GB2312" w:cs="Times New Roman"/>
          <w:bCs/>
          <w:sz w:val="32"/>
          <w:szCs w:val="32"/>
        </w:rPr>
        <w:t>第十五条  学生在勤工助学过程中要自觉提高安全防范意识，防止发生人身伤害和财物损失。</w:t>
      </w:r>
    </w:p>
    <w:p w14:paraId="0A83C886">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第五章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勤工助学报酬标准及发放</w:t>
      </w:r>
    </w:p>
    <w:p w14:paraId="1E1BF50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第十六条  学院设立勤工助学专项经费，主要用于支付勤工助学学生劳动报酬和必要的管理费用等。</w:t>
      </w:r>
    </w:p>
    <w:p w14:paraId="7A0ED545">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第十七条  校内勤工助学岗位均按小时计酬，按每小时15元人民币计算。</w:t>
      </w:r>
    </w:p>
    <w:p w14:paraId="399D9CC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第十八条  校内勤工助学酬金每月发放一次，各用工部门须于每月20日前（遇寒暑假可适当调整）将本月用工考勤情况报学生资助管理中心备案（每月20日之后录用的临时岗位，可于次月申报），学生资助管理中心审核后统一报财务处，由财务处将酬金直接发至学生的银行账户。</w:t>
      </w:r>
    </w:p>
    <w:p w14:paraId="23AE76DF">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第十九条  学生参与校内非营利性单位的勤工助学活动，其劳动报酬由学生资助管理中心从勤工助学专项经费中支付；学生参与校内营利性单位或有专门经费项目的勤工助学活动，其劳动报酬由用人单位支付。</w:t>
      </w:r>
    </w:p>
    <w:p w14:paraId="3D974C0B">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第六章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奖励与处分</w:t>
      </w:r>
    </w:p>
    <w:p w14:paraId="5BA850F4">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第二十条  对在勤工助学活动中表现突出的部门和个人，学院可设立专门的奖项予以表彰和奖励。</w:t>
      </w:r>
    </w:p>
    <w:p w14:paraId="1F2CFAF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第二十一条  对有下列情形的学生，将按学院有关规定处理：</w:t>
      </w:r>
    </w:p>
    <w:p w14:paraId="08B3DEB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（一）未向学生资助管理中心申报，擅自为外单位、个人张贴海报，散发宣传材料，或个人从事经商活动，不听劝阻者；</w:t>
      </w:r>
    </w:p>
    <w:p w14:paraId="6A4D61C1">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（二）盗用学生资助管理中心名义组织勤工助学活动，扰乱学院勤工助学活动秩序者；</w:t>
      </w:r>
    </w:p>
    <w:p w14:paraId="28CD7A7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（三）违反本办法有关规定。</w:t>
      </w:r>
    </w:p>
    <w:p w14:paraId="3C4F234C">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第七章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附则</w:t>
      </w:r>
    </w:p>
    <w:p w14:paraId="20357D1B">
      <w:pPr>
        <w:spacing w:line="560" w:lineRule="exact"/>
        <w:ind w:firstLine="640" w:firstLineChars="200"/>
        <w:outlineLvl w:val="1"/>
        <w:rPr>
          <w:rFonts w:hint="eastAsia" w:ascii="仿宋_GB2312" w:hAnsi="仿宋" w:eastAsia="仿宋_GB2312" w:cs="Times New Roman"/>
          <w:bCs/>
          <w:sz w:val="32"/>
          <w:szCs w:val="32"/>
          <w:lang w:eastAsia="zh-CN"/>
        </w:rPr>
      </w:pPr>
      <w:r>
        <w:rPr>
          <w:rFonts w:hint="eastAsia" w:ascii="仿宋_GB2312" w:hAnsi="仿宋" w:eastAsia="仿宋_GB2312" w:cs="Times New Roman"/>
          <w:bCs/>
          <w:sz w:val="32"/>
          <w:szCs w:val="32"/>
        </w:rPr>
        <w:t>第二十二条  本办法自公布之日起实施。</w:t>
      </w:r>
    </w:p>
    <w:p w14:paraId="25188DC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第二十三条  本办法由</w:t>
      </w:r>
      <w:r>
        <w:rPr>
          <w:rFonts w:hint="eastAsia" w:ascii="仿宋_GB2312" w:hAnsi="仿宋" w:eastAsia="仿宋_GB2312" w:cs="Times New Roman"/>
          <w:bCs/>
          <w:sz w:val="32"/>
          <w:szCs w:val="32"/>
          <w:lang w:val="en-US" w:eastAsia="zh-CN"/>
        </w:rPr>
        <w:t>党委</w:t>
      </w:r>
      <w:r>
        <w:rPr>
          <w:rFonts w:hint="eastAsia" w:ascii="仿宋_GB2312" w:hAnsi="仿宋" w:eastAsia="仿宋_GB2312" w:cs="Times New Roman"/>
          <w:bCs/>
          <w:sz w:val="32"/>
          <w:szCs w:val="32"/>
        </w:rPr>
        <w:t>学生工作部（学生处、武装部）负责解释。未尽事宜，依照法律法规和教育部、北京市有关规定执行。</w:t>
      </w:r>
    </w:p>
    <w:tbl>
      <w:tblPr>
        <w:tblStyle w:val="6"/>
        <w:tblpPr w:leftFromText="180" w:rightFromText="180" w:vertAnchor="page" w:horzAnchor="page" w:tblpX="1790" w:tblpY="14222"/>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14:paraId="07FE73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8928" w:type="dxa"/>
            <w:noWrap w:val="0"/>
            <w:vAlign w:val="top"/>
          </w:tcPr>
          <w:p w14:paraId="65BD20B2">
            <w:pPr>
              <w:ind w:firstLine="140" w:firstLineChars="50"/>
              <w:rPr>
                <w:rFonts w:hint="eastAsia"/>
                <w:kern w:val="0"/>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Fonts w:hint="eastAsia" w:ascii="仿宋_GB2312" w:eastAsia="仿宋_GB2312"/>
                <w:sz w:val="28"/>
                <w:szCs w:val="28"/>
                <w:lang w:val="en-US" w:eastAsia="zh-CN"/>
              </w:rPr>
              <w:t>4</w:t>
            </w:r>
            <w:r>
              <w:rPr>
                <w:rFonts w:hint="eastAsia" w:ascii="仿宋_GB2312" w:eastAsia="仿宋_GB2312"/>
                <w:sz w:val="28"/>
                <w:szCs w:val="28"/>
              </w:rPr>
              <w:t>月</w:t>
            </w:r>
            <w:r>
              <w:rPr>
                <w:rFonts w:hint="eastAsia" w:ascii="仿宋_GB2312" w:eastAsia="仿宋_GB2312"/>
                <w:sz w:val="28"/>
                <w:szCs w:val="28"/>
                <w:lang w:val="en-US" w:eastAsia="zh-CN"/>
              </w:rPr>
              <w:t>2</w:t>
            </w:r>
            <w:r>
              <w:rPr>
                <w:rFonts w:hint="eastAsia" w:ascii="仿宋_GB2312" w:eastAsia="仿宋_GB2312"/>
                <w:sz w:val="28"/>
                <w:szCs w:val="28"/>
              </w:rPr>
              <w:t>日印发</w:t>
            </w:r>
          </w:p>
        </w:tc>
      </w:tr>
    </w:tbl>
    <w:p w14:paraId="24E2F27E">
      <w:pPr>
        <w:spacing w:line="560" w:lineRule="exact"/>
        <w:rPr>
          <w:rFonts w:hint="default" w:ascii="仿宋_GB2312"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43E7FE9-6DA4-4B7C-92C0-BF99F0EE541A}"/>
  </w:font>
  <w:font w:name="黑体">
    <w:panose1 w:val="02010609060101010101"/>
    <w:charset w:val="86"/>
    <w:family w:val="auto"/>
    <w:pitch w:val="default"/>
    <w:sig w:usb0="800002BF" w:usb1="38CF7CFA" w:usb2="00000016" w:usb3="00000000" w:csb0="00040001" w:csb1="00000000"/>
    <w:embedRegular r:id="rId2" w:fontKey="{E6C9D85D-FF63-4844-B9B2-632E5FA42C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A01C710-6E3F-4CAD-B445-B3A5B7DA49A4}"/>
  </w:font>
  <w:font w:name="??">
    <w:altName w:val="Calibri"/>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4594E36F-8B07-4F0E-9704-68B0F759A689}"/>
  </w:font>
  <w:font w:name="华文中宋">
    <w:panose1 w:val="02010600040101010101"/>
    <w:charset w:val="86"/>
    <w:family w:val="auto"/>
    <w:pitch w:val="default"/>
    <w:sig w:usb0="00000287" w:usb1="080F0000" w:usb2="00000000" w:usb3="00000000" w:csb0="0004009F" w:csb1="DFD70000"/>
    <w:embedRegular r:id="rId5" w:fontKey="{3A88ABE6-4DFC-4730-89E3-2DB4E9B2EAEF}"/>
  </w:font>
  <w:font w:name="楷体_GB2312">
    <w:panose1 w:val="02010609030101010101"/>
    <w:charset w:val="86"/>
    <w:family w:val="modern"/>
    <w:pitch w:val="default"/>
    <w:sig w:usb0="00000001" w:usb1="080E0000" w:usb2="00000000" w:usb3="00000000" w:csb0="00040000" w:csb1="00000000"/>
    <w:embedRegular r:id="rId6" w:fontKey="{237212AA-B225-48CB-9EBE-73116D77DBE7}"/>
  </w:font>
  <w:font w:name="楷体">
    <w:panose1 w:val="02010609060101010101"/>
    <w:charset w:val="86"/>
    <w:family w:val="modern"/>
    <w:pitch w:val="default"/>
    <w:sig w:usb0="800002BF" w:usb1="38CF7CFA" w:usb2="00000016" w:usb3="00000000" w:csb0="00040001" w:csb1="00000000"/>
    <w:embedRegular r:id="rId7" w:fontKey="{C0A3BC31-F1AB-4A0A-8DB8-127A63CC5B41}"/>
  </w:font>
  <w:font w:name="仿宋">
    <w:panose1 w:val="02010609060101010101"/>
    <w:charset w:val="86"/>
    <w:family w:val="modern"/>
    <w:pitch w:val="default"/>
    <w:sig w:usb0="800002BF" w:usb1="38CF7CFA" w:usb2="00000016" w:usb3="00000000" w:csb0="00040001" w:csb1="00000000"/>
    <w:embedRegular r:id="rId8" w:fontKey="{0A93B1B9-93D3-45D1-8CC1-66FB715C3F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27E90">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19F1A">
                          <w:pPr>
                            <w:pStyle w:val="3"/>
                            <w:rPr>
                              <w:sz w:val="28"/>
                              <w:szCs w:val="28"/>
                            </w:rPr>
                          </w:pPr>
                          <w:r>
                            <w:rPr>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3819F1A">
                    <w:pPr>
                      <w:pStyle w:val="3"/>
                      <w:rPr>
                        <w:sz w:val="28"/>
                        <w:szCs w:val="28"/>
                      </w:rPr>
                    </w:pPr>
                    <w:r>
                      <w:rPr>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61673D"/>
    <w:rsid w:val="00084D73"/>
    <w:rsid w:val="00377E65"/>
    <w:rsid w:val="003A07FB"/>
    <w:rsid w:val="004F2E88"/>
    <w:rsid w:val="00591C44"/>
    <w:rsid w:val="0061673D"/>
    <w:rsid w:val="006D52AA"/>
    <w:rsid w:val="00746449"/>
    <w:rsid w:val="00873A9E"/>
    <w:rsid w:val="009367F7"/>
    <w:rsid w:val="00B24B2E"/>
    <w:rsid w:val="00B37CD0"/>
    <w:rsid w:val="00D706C3"/>
    <w:rsid w:val="00F63A16"/>
    <w:rsid w:val="037948F3"/>
    <w:rsid w:val="056568A4"/>
    <w:rsid w:val="0799159C"/>
    <w:rsid w:val="11750CB2"/>
    <w:rsid w:val="186E54B9"/>
    <w:rsid w:val="1FB65DB1"/>
    <w:rsid w:val="207501A5"/>
    <w:rsid w:val="20B43E0D"/>
    <w:rsid w:val="264F0358"/>
    <w:rsid w:val="3C345DFB"/>
    <w:rsid w:val="3C816727"/>
    <w:rsid w:val="3ED72BCE"/>
    <w:rsid w:val="44B609C8"/>
    <w:rsid w:val="47204295"/>
    <w:rsid w:val="487723A8"/>
    <w:rsid w:val="5C2F473D"/>
    <w:rsid w:val="7571296E"/>
    <w:rsid w:val="7A170370"/>
    <w:rsid w:val="7E211670"/>
    <w:rsid w:val="7F33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99"/>
    <w:pPr>
      <w:widowControl/>
      <w:spacing w:before="100" w:beforeAutospacing="1" w:after="100" w:afterAutospacing="1"/>
      <w:jc w:val="left"/>
      <w:outlineLvl w:val="1"/>
    </w:pPr>
    <w:rPr>
      <w:rFonts w:ascii="??" w:hAnsi="??" w:cs="宋体"/>
      <w:b/>
      <w:bCs/>
      <w:kern w:val="0"/>
      <w:sz w:val="36"/>
      <w:szCs w:val="36"/>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8">
    <w:name w:val="Strong"/>
    <w:autoRedefine/>
    <w:qFormat/>
    <w:uiPriority w:val="0"/>
    <w:rPr>
      <w:b/>
      <w:bCs/>
    </w:rPr>
  </w:style>
  <w:style w:type="paragraph" w:customStyle="1" w:styleId="9">
    <w:name w:val="Default"/>
    <w:autoRedefine/>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3144</Words>
  <Characters>3187</Characters>
  <Lines>11</Lines>
  <Paragraphs>3</Paragraphs>
  <TotalTime>21</TotalTime>
  <ScaleCrop>false</ScaleCrop>
  <LinksUpToDate>false</LinksUpToDate>
  <CharactersWithSpaces>3297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2023-10-31T03:19:00Z</dcterms:created>
  <dc:creator>Administrator</dc:creator>
  <cp:lastModifiedBy>张欣怡</cp:lastModifiedBy>
  <dcterms:modified xsi:type="dcterms:W3CDTF">2025-04-07T07:15:20Z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372A7177060647FA9DB17597D51172AA_13</vt:lpwstr>
  </property>
  <property fmtid="{D5CDD505-2E9C-101B-9397-08002B2CF9AE}" pid="4" name="KSOTemplateDocerSaveRecord">
    <vt:lpwstr>eyJoZGlkIjoiYjE3ZGIyMzFlM2ZkZWMzNzdlNjM5ZjIyM2E3YTI4ZTIiLCJ1c2VySWQiOiIyMzMzOTcxNzMifQ==</vt:lpwstr>
  </property>
</Properties>
</file>